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A11" w:rsidRDefault="00CE1A11">
      <w:pPr>
        <w:spacing w:after="0" w:line="590" w:lineRule="exact"/>
        <w:jc w:val="center"/>
        <w:rPr>
          <w:rFonts w:ascii="方正小标宋简体" w:eastAsia="方正小标宋简体" w:hAnsi="方正小标宋简体" w:cs="方正小标宋简体"/>
          <w:color w:val="000000" w:themeColor="text1"/>
          <w:sz w:val="44"/>
          <w:szCs w:val="44"/>
        </w:rPr>
      </w:pPr>
    </w:p>
    <w:p w:rsidR="00CE1A11" w:rsidRDefault="00CE1A11">
      <w:pPr>
        <w:pStyle w:val="a6"/>
        <w:rPr>
          <w:color w:val="000000" w:themeColor="text1"/>
          <w:lang w:eastAsia="zh-CN"/>
        </w:rPr>
      </w:pPr>
    </w:p>
    <w:p w:rsidR="00CE1A11" w:rsidRDefault="00CE1A11">
      <w:pPr>
        <w:spacing w:after="0" w:line="590" w:lineRule="exact"/>
        <w:jc w:val="center"/>
        <w:rPr>
          <w:rFonts w:ascii="方正小标宋简体" w:eastAsia="方正小标宋简体" w:hAnsi="方正小标宋简体" w:cs="方正小标宋简体"/>
          <w:color w:val="000000" w:themeColor="text1"/>
          <w:sz w:val="44"/>
          <w:szCs w:val="44"/>
        </w:rPr>
      </w:pPr>
    </w:p>
    <w:p w:rsidR="00CE1A11" w:rsidRDefault="00CE1A11">
      <w:pPr>
        <w:spacing w:after="0" w:line="590" w:lineRule="exact"/>
        <w:jc w:val="center"/>
        <w:rPr>
          <w:rFonts w:ascii="方正小标宋简体" w:eastAsia="方正小标宋简体" w:hAnsi="方正小标宋简体" w:cs="方正小标宋简体"/>
          <w:color w:val="000000" w:themeColor="text1"/>
          <w:sz w:val="44"/>
          <w:szCs w:val="44"/>
        </w:rPr>
      </w:pPr>
    </w:p>
    <w:p w:rsidR="00CE1A11" w:rsidRDefault="00CE1A11">
      <w:pPr>
        <w:spacing w:after="0" w:line="590" w:lineRule="exact"/>
        <w:jc w:val="center"/>
        <w:rPr>
          <w:rFonts w:ascii="方正小标宋简体" w:eastAsia="方正小标宋简体" w:hAnsi="方正小标宋简体" w:cs="方正小标宋简体"/>
          <w:color w:val="000000" w:themeColor="text1"/>
          <w:sz w:val="44"/>
          <w:szCs w:val="44"/>
        </w:rPr>
      </w:pPr>
    </w:p>
    <w:p w:rsidR="00CE1A11" w:rsidRDefault="003B6665">
      <w:pPr>
        <w:spacing w:after="0" w:line="59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厦门市“十四五”现代服务业发展规划</w:t>
      </w:r>
    </w:p>
    <w:p w:rsidR="00CE1A11" w:rsidRDefault="00CE1A11">
      <w:pPr>
        <w:rPr>
          <w:rFonts w:ascii="仿宋_GB2312" w:eastAsia="仿宋_GB2312" w:hAnsi="仿宋_GB2312" w:cs="仿宋_GB2312"/>
          <w:b/>
          <w:bCs/>
          <w:color w:val="000000" w:themeColor="text1"/>
          <w:szCs w:val="32"/>
        </w:rPr>
      </w:pPr>
      <w:bookmarkStart w:id="0" w:name="_GoBack"/>
      <w:bookmarkEnd w:id="0"/>
    </w:p>
    <w:p w:rsidR="00CE1A11" w:rsidRDefault="00CE1A11">
      <w:pPr>
        <w:pStyle w:val="a6"/>
        <w:rPr>
          <w:rFonts w:ascii="仿宋_GB2312" w:eastAsia="仿宋_GB2312" w:hAnsi="仿宋_GB2312" w:cs="仿宋_GB2312"/>
          <w:b/>
          <w:bCs/>
          <w:color w:val="000000" w:themeColor="text1"/>
          <w:sz w:val="32"/>
          <w:szCs w:val="32"/>
          <w:lang w:eastAsia="zh-CN"/>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CE1A11">
      <w:pPr>
        <w:pStyle w:val="a7"/>
        <w:rPr>
          <w:rFonts w:ascii="仿宋_GB2312" w:eastAsia="仿宋_GB2312" w:hAnsi="仿宋_GB2312" w:cs="仿宋_GB2312"/>
          <w:b/>
          <w:bCs/>
          <w:color w:val="000000" w:themeColor="text1"/>
          <w:sz w:val="32"/>
          <w:szCs w:val="32"/>
        </w:rPr>
      </w:pPr>
    </w:p>
    <w:p w:rsidR="00CE1A11" w:rsidRDefault="003B6665">
      <w:pPr>
        <w:jc w:val="center"/>
        <w:rPr>
          <w:rFonts w:ascii="楷体_GB2312" w:eastAsia="楷体_GB2312" w:hAnsi="楷体"/>
          <w:color w:val="000000" w:themeColor="text1"/>
          <w:sz w:val="36"/>
          <w:szCs w:val="36"/>
        </w:rPr>
      </w:pPr>
      <w:r>
        <w:rPr>
          <w:rFonts w:ascii="楷体_GB2312" w:eastAsia="楷体_GB2312" w:hAnsi="楷体" w:hint="eastAsia"/>
          <w:color w:val="000000" w:themeColor="text1"/>
          <w:sz w:val="36"/>
          <w:szCs w:val="36"/>
        </w:rPr>
        <w:t>2022年9月</w:t>
      </w:r>
    </w:p>
    <w:p w:rsidR="00CE1A11" w:rsidRDefault="00CE1A11">
      <w:pPr>
        <w:pStyle w:val="BodyTextIndent21"/>
        <w:ind w:left="640"/>
        <w:rPr>
          <w:color w:val="000000" w:themeColor="text1"/>
        </w:rPr>
      </w:pPr>
    </w:p>
    <w:p w:rsidR="00CE1A11" w:rsidRDefault="00CE1A11">
      <w:pPr>
        <w:pStyle w:val="BodyTextIndent21"/>
        <w:ind w:left="640"/>
        <w:rPr>
          <w:color w:val="000000" w:themeColor="text1"/>
        </w:rPr>
        <w:sectPr w:rsidR="00CE1A11">
          <w:footerReference w:type="default" r:id="rId8"/>
          <w:pgSz w:w="11906" w:h="16838"/>
          <w:pgMar w:top="1440" w:right="1531" w:bottom="1440" w:left="1531" w:header="851" w:footer="992" w:gutter="0"/>
          <w:cols w:space="720"/>
          <w:docGrid w:type="linesAndChars" w:linePitch="312"/>
        </w:sectPr>
      </w:pPr>
    </w:p>
    <w:p w:rsidR="00CE1A11" w:rsidRDefault="00CE1A11">
      <w:pPr>
        <w:pStyle w:val="a7"/>
        <w:rPr>
          <w:color w:val="000000" w:themeColor="text1"/>
        </w:rPr>
      </w:pPr>
    </w:p>
    <w:p w:rsidR="00CE1A11" w:rsidRDefault="003B6665">
      <w:pPr>
        <w:spacing w:after="200" w:line="240" w:lineRule="auto"/>
        <w:jc w:val="center"/>
        <w:rPr>
          <w:rFonts w:hAnsi="黑体" w:cs="黑体"/>
          <w:color w:val="000000" w:themeColor="text1"/>
        </w:rPr>
      </w:pPr>
      <w:r>
        <w:rPr>
          <w:rFonts w:ascii="方正小标宋简体" w:eastAsia="方正小标宋简体" w:hAnsi="方正小标宋简体" w:cs="方正小标宋简体" w:hint="eastAsia"/>
          <w:color w:val="000000" w:themeColor="text1"/>
          <w:sz w:val="40"/>
          <w:szCs w:val="48"/>
        </w:rPr>
        <w:t>目  录</w:t>
      </w:r>
    </w:p>
    <w:p w:rsidR="00CE1A11" w:rsidRDefault="007545A0">
      <w:pPr>
        <w:pStyle w:val="10"/>
        <w:tabs>
          <w:tab w:val="right" w:leader="dot" w:pos="8640"/>
        </w:tabs>
        <w:rPr>
          <w:color w:val="000000" w:themeColor="text1"/>
        </w:rPr>
      </w:pPr>
      <w:r w:rsidRPr="007545A0">
        <w:rPr>
          <w:color w:val="000000" w:themeColor="text1"/>
        </w:rPr>
        <w:fldChar w:fldCharType="begin"/>
      </w:r>
      <w:r w:rsidR="003B6665">
        <w:rPr>
          <w:color w:val="000000" w:themeColor="text1"/>
        </w:rPr>
        <w:instrText xml:space="preserve"> TOC \o "1-3" \h \z \u </w:instrText>
      </w:r>
      <w:r w:rsidRPr="007545A0">
        <w:rPr>
          <w:color w:val="000000" w:themeColor="text1"/>
        </w:rPr>
        <w:fldChar w:fldCharType="separate"/>
      </w:r>
      <w:hyperlink w:anchor="_Toc855968250" w:history="1">
        <w:r w:rsidR="003B6665">
          <w:rPr>
            <w:rFonts w:ascii="黑体" w:eastAsia="黑体" w:hAnsi="黑体" w:cs="黑体" w:hint="eastAsia"/>
            <w:color w:val="000000" w:themeColor="text1"/>
          </w:rPr>
          <w:t>一、发展基础</w:t>
        </w:r>
        <w:r w:rsidR="003B6665">
          <w:rPr>
            <w:rFonts w:ascii="黑体" w:eastAsia="黑体" w:hAnsi="黑体" w:cs="黑体" w:hint="eastAsia"/>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_Toc855968250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3</w:t>
        </w:r>
        <w:r>
          <w:rPr>
            <w:rFonts w:ascii="仿宋_GB2312" w:eastAsia="仿宋_GB2312" w:hAnsi="仿宋_GB2312" w:cs="仿宋_GB2312" w:hint="eastAsia"/>
            <w:color w:val="000000" w:themeColor="text1"/>
          </w:rPr>
          <w:fldChar w:fldCharType="end"/>
        </w:r>
      </w:hyperlink>
    </w:p>
    <w:p w:rsidR="00CE1A11" w:rsidRDefault="007545A0">
      <w:pPr>
        <w:pStyle w:val="10"/>
        <w:tabs>
          <w:tab w:val="right" w:leader="dot" w:pos="8640"/>
        </w:tabs>
        <w:rPr>
          <w:color w:val="000000" w:themeColor="text1"/>
        </w:rPr>
      </w:pPr>
      <w:hyperlink w:anchor="_Toc2035003202" w:history="1">
        <w:r w:rsidR="003B6665">
          <w:rPr>
            <w:rFonts w:ascii="黑体" w:eastAsia="黑体" w:hAnsi="黑体" w:cs="黑体" w:hint="eastAsia"/>
            <w:bCs/>
            <w:color w:val="000000" w:themeColor="text1"/>
          </w:rPr>
          <w:t>二、发展环境</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_Toc2035003202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5</w:t>
        </w:r>
        <w:r>
          <w:rPr>
            <w:rFonts w:ascii="仿宋_GB2312" w:eastAsia="仿宋_GB2312" w:hAnsi="仿宋_GB2312" w:cs="仿宋_GB2312" w:hint="eastAsia"/>
            <w:color w:val="000000" w:themeColor="text1"/>
          </w:rPr>
          <w:fldChar w:fldCharType="end"/>
        </w:r>
      </w:hyperlink>
    </w:p>
    <w:p w:rsidR="00CE1A11" w:rsidRDefault="007545A0">
      <w:pPr>
        <w:pStyle w:val="10"/>
        <w:tabs>
          <w:tab w:val="right" w:leader="dot" w:pos="8640"/>
        </w:tabs>
        <w:rPr>
          <w:color w:val="000000" w:themeColor="text1"/>
        </w:rPr>
      </w:pPr>
      <w:hyperlink w:anchor="_Toc2117681002" w:history="1">
        <w:r w:rsidR="003B6665">
          <w:rPr>
            <w:rFonts w:ascii="黑体" w:eastAsia="黑体" w:hAnsi="黑体" w:cs="黑体" w:hint="eastAsia"/>
            <w:color w:val="000000" w:themeColor="text1"/>
          </w:rPr>
          <w:t>三、发展思路</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_Toc2117681002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6</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1909917777" w:history="1">
        <w:r w:rsidR="003B6665">
          <w:rPr>
            <w:rFonts w:ascii="楷体_GB2312" w:eastAsia="楷体_GB2312" w:hAnsi="楷体_GB2312" w:cs="楷体_GB2312" w:hint="eastAsia"/>
            <w:bCs/>
            <w:color w:val="000000" w:themeColor="text1"/>
            <w:szCs w:val="32"/>
          </w:rPr>
          <w:t>（一）</w:t>
        </w:r>
        <w:r w:rsidR="003B6665">
          <w:rPr>
            <w:rFonts w:ascii="楷体_GB2312" w:eastAsia="楷体_GB2312" w:hAnsi="楷体_GB2312" w:cs="楷体_GB2312"/>
            <w:bCs/>
            <w:color w:val="000000" w:themeColor="text1"/>
            <w:szCs w:val="32"/>
          </w:rPr>
          <w:t>总体思路</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_Toc1909917777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6</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822194247" w:history="1">
        <w:r w:rsidR="003B6665">
          <w:rPr>
            <w:rFonts w:ascii="楷体_GB2312" w:eastAsia="楷体_GB2312" w:hAnsi="楷体_GB2312" w:cs="楷体_GB2312" w:hint="eastAsia"/>
            <w:bCs/>
            <w:color w:val="000000" w:themeColor="text1"/>
            <w:szCs w:val="32"/>
          </w:rPr>
          <w:t>（二）</w:t>
        </w:r>
        <w:r w:rsidR="003B6665">
          <w:rPr>
            <w:rFonts w:ascii="楷体_GB2312" w:eastAsia="楷体_GB2312" w:hAnsi="楷体_GB2312" w:cs="楷体_GB2312"/>
            <w:bCs/>
            <w:color w:val="000000" w:themeColor="text1"/>
            <w:szCs w:val="32"/>
          </w:rPr>
          <w:t>基本原则</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_Toc822194247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7</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922055500" w:history="1">
        <w:r w:rsidR="003B6665">
          <w:rPr>
            <w:rFonts w:ascii="楷体_GB2312" w:eastAsia="楷体_GB2312" w:hAnsi="楷体_GB2312" w:cs="楷体_GB2312" w:hint="eastAsia"/>
            <w:bCs/>
            <w:color w:val="000000" w:themeColor="text1"/>
            <w:szCs w:val="32"/>
          </w:rPr>
          <w:t>（三）</w:t>
        </w:r>
        <w:r w:rsidR="003B6665">
          <w:rPr>
            <w:rFonts w:ascii="楷体_GB2312" w:eastAsia="楷体_GB2312" w:hAnsi="楷体_GB2312" w:cs="楷体_GB2312"/>
            <w:bCs/>
            <w:color w:val="000000" w:themeColor="text1"/>
            <w:szCs w:val="32"/>
          </w:rPr>
          <w:t>发展目标</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_Toc922055500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8</w:t>
        </w:r>
        <w:r>
          <w:rPr>
            <w:rFonts w:ascii="仿宋_GB2312" w:eastAsia="仿宋_GB2312" w:hAnsi="仿宋_GB2312" w:cs="仿宋_GB2312" w:hint="eastAsia"/>
            <w:color w:val="000000" w:themeColor="text1"/>
          </w:rPr>
          <w:fldChar w:fldCharType="end"/>
        </w:r>
      </w:hyperlink>
    </w:p>
    <w:p w:rsidR="00CE1A11" w:rsidRDefault="007545A0">
      <w:pPr>
        <w:pStyle w:val="10"/>
        <w:tabs>
          <w:tab w:val="right" w:leader="dot" w:pos="8640"/>
        </w:tabs>
        <w:rPr>
          <w:color w:val="000000" w:themeColor="text1"/>
        </w:rPr>
      </w:pPr>
      <w:hyperlink w:anchor="_Toc1794864582" w:history="1">
        <w:r w:rsidR="003B6665">
          <w:rPr>
            <w:rFonts w:ascii="黑体" w:eastAsia="黑体" w:hAnsi="黑体" w:cs="黑体" w:hint="eastAsia"/>
            <w:color w:val="000000" w:themeColor="text1"/>
          </w:rPr>
          <w:t>四、构建特色现代服务业产业体系，提升服务能级</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_Toc1794864582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9</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1840370895" w:history="1">
        <w:r w:rsidR="003B6665">
          <w:rPr>
            <w:rFonts w:ascii="楷体_GB2312" w:eastAsia="楷体_GB2312" w:hAnsi="楷体_GB2312" w:cs="楷体_GB2312" w:hint="eastAsia"/>
            <w:bCs/>
            <w:color w:val="000000" w:themeColor="text1"/>
            <w:szCs w:val="32"/>
          </w:rPr>
          <w:t>（一）商贸物流</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_Toc1840370895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9</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203414113" w:history="1">
        <w:r w:rsidR="003B6665">
          <w:rPr>
            <w:rFonts w:ascii="楷体_GB2312" w:eastAsia="楷体_GB2312" w:hAnsi="楷体_GB2312" w:cs="楷体_GB2312" w:hint="eastAsia"/>
            <w:bCs/>
            <w:color w:val="000000" w:themeColor="text1"/>
            <w:szCs w:val="32"/>
          </w:rPr>
          <w:t>（二）金融服务</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_Toc203414113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18</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1348976224" w:history="1">
        <w:r w:rsidR="003B6665">
          <w:rPr>
            <w:rFonts w:ascii="楷体_GB2312" w:eastAsia="楷体_GB2312" w:hAnsi="楷体_GB2312" w:cs="楷体_GB2312" w:hint="eastAsia"/>
            <w:bCs/>
            <w:color w:val="000000" w:themeColor="text1"/>
            <w:szCs w:val="32"/>
          </w:rPr>
          <w:t>（三）软件信息和科技服务</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_Toc1348976224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21</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727622642" w:history="1">
        <w:r w:rsidR="003B6665">
          <w:rPr>
            <w:rFonts w:ascii="楷体_GB2312" w:eastAsia="楷体_GB2312" w:hAnsi="楷体_GB2312" w:cs="楷体_GB2312" w:hint="eastAsia"/>
            <w:bCs/>
            <w:color w:val="000000" w:themeColor="text1"/>
            <w:szCs w:val="32"/>
          </w:rPr>
          <w:t>（四）文旅创意</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_Toc727622642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24</w:t>
        </w:r>
        <w:r>
          <w:rPr>
            <w:rFonts w:ascii="仿宋_GB2312" w:eastAsia="仿宋_GB2312" w:hAnsi="仿宋_GB2312" w:cs="仿宋_GB2312" w:hint="eastAsia"/>
            <w:color w:val="000000" w:themeColor="text1"/>
          </w:rPr>
          <w:fldChar w:fldCharType="end"/>
        </w:r>
      </w:hyperlink>
    </w:p>
    <w:p w:rsidR="00CE1A11" w:rsidRDefault="007545A0">
      <w:pPr>
        <w:pStyle w:val="10"/>
        <w:tabs>
          <w:tab w:val="right" w:leader="dot" w:pos="8640"/>
        </w:tabs>
        <w:rPr>
          <w:color w:val="000000" w:themeColor="text1"/>
        </w:rPr>
      </w:pPr>
      <w:hyperlink w:anchor="_Toc1305113253" w:history="1">
        <w:r w:rsidR="003B6665">
          <w:rPr>
            <w:rFonts w:ascii="黑体" w:eastAsia="黑体" w:hAnsi="黑体" w:cs="黑体" w:hint="eastAsia"/>
            <w:color w:val="000000" w:themeColor="text1"/>
          </w:rPr>
          <w:t>五、深入实施五大工程，增强服务业发展新动能</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_Toc1305113253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27</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1390072660" w:history="1">
        <w:r w:rsidR="003B6665">
          <w:rPr>
            <w:rFonts w:ascii="楷体_GB2312" w:eastAsia="楷体_GB2312" w:hAnsi="楷体_GB2312" w:cs="楷体_GB2312" w:hint="eastAsia"/>
            <w:bCs/>
            <w:color w:val="000000" w:themeColor="text1"/>
            <w:szCs w:val="32"/>
          </w:rPr>
          <w:t>（一）市场主体壮大工程</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_Toc1390072660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27</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65289493" w:history="1">
        <w:r w:rsidR="003B6665">
          <w:rPr>
            <w:rFonts w:ascii="楷体_GB2312" w:eastAsia="楷体_GB2312" w:hAnsi="楷体_GB2312" w:cs="楷体_GB2312" w:hint="eastAsia"/>
            <w:bCs/>
            <w:color w:val="000000" w:themeColor="text1"/>
            <w:szCs w:val="32"/>
          </w:rPr>
          <w:t>（二）空间布局优化工程</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_Toc65289493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28</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1149945135" w:history="1">
        <w:r w:rsidR="003B6665">
          <w:rPr>
            <w:rFonts w:ascii="楷体_GB2312" w:eastAsia="楷体_GB2312" w:hAnsi="楷体_GB2312" w:cs="楷体_GB2312" w:hint="eastAsia"/>
            <w:bCs/>
            <w:color w:val="000000" w:themeColor="text1"/>
            <w:szCs w:val="32"/>
          </w:rPr>
          <w:t>（三）数字赋能提升工程</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_Toc1149945135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32</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1557976491" w:history="1">
        <w:r w:rsidR="003B6665">
          <w:rPr>
            <w:rFonts w:ascii="楷体_GB2312" w:eastAsia="楷体_GB2312" w:hAnsi="楷体_GB2312" w:cs="楷体_GB2312" w:hint="eastAsia"/>
            <w:bCs/>
            <w:color w:val="000000" w:themeColor="text1"/>
            <w:szCs w:val="32"/>
          </w:rPr>
          <w:t>（四）人才发展引领工程</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_Toc1557976491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33</w:t>
        </w:r>
        <w:r>
          <w:rPr>
            <w:rFonts w:ascii="仿宋_GB2312" w:eastAsia="仿宋_GB2312" w:hAnsi="仿宋_GB2312" w:cs="仿宋_GB2312" w:hint="eastAsia"/>
            <w:color w:val="000000" w:themeColor="text1"/>
          </w:rPr>
          <w:fldChar w:fldCharType="end"/>
        </w:r>
      </w:hyperlink>
    </w:p>
    <w:p w:rsidR="00CE1A11" w:rsidRDefault="007545A0">
      <w:pPr>
        <w:pStyle w:val="22"/>
        <w:tabs>
          <w:tab w:val="right" w:leader="dot" w:pos="8640"/>
        </w:tabs>
        <w:rPr>
          <w:color w:val="000000" w:themeColor="text1"/>
        </w:rPr>
      </w:pPr>
      <w:hyperlink w:anchor="_Toc133591388" w:history="1">
        <w:r w:rsidR="003B6665">
          <w:rPr>
            <w:rFonts w:ascii="楷体_GB2312" w:eastAsia="楷体_GB2312" w:hAnsi="楷体_GB2312" w:cs="楷体_GB2312" w:hint="eastAsia"/>
            <w:bCs/>
            <w:color w:val="000000" w:themeColor="text1"/>
            <w:szCs w:val="32"/>
          </w:rPr>
          <w:t>（五）深化服务业改革开放工程</w:t>
        </w:r>
        <w:r w:rsidR="003B6665">
          <w:rPr>
            <w:color w:val="000000" w:themeColor="text1"/>
          </w:rPr>
          <w:tab/>
        </w:r>
        <w:r>
          <w:rPr>
            <w:rFonts w:ascii="仿宋_GB2312" w:eastAsia="仿宋_GB2312" w:hAnsi="仿宋_GB2312" w:cs="仿宋_GB2312" w:hint="eastAsia"/>
            <w:color w:val="000000" w:themeColor="text1"/>
          </w:rPr>
          <w:fldChar w:fldCharType="begin"/>
        </w:r>
        <w:r w:rsidR="003B6665">
          <w:rPr>
            <w:rFonts w:ascii="仿宋_GB2312" w:eastAsia="仿宋_GB2312" w:hAnsi="仿宋_GB2312" w:cs="仿宋_GB2312" w:hint="eastAsia"/>
            <w:color w:val="000000" w:themeColor="text1"/>
          </w:rPr>
          <w:instrText xml:space="preserve"> PAGEREF _Toc133591388 </w:instrText>
        </w:r>
        <w:r>
          <w:rPr>
            <w:rFonts w:ascii="仿宋_GB2312" w:eastAsia="仿宋_GB2312" w:hAnsi="仿宋_GB2312" w:cs="仿宋_GB2312" w:hint="eastAsia"/>
            <w:color w:val="000000" w:themeColor="text1"/>
          </w:rPr>
          <w:fldChar w:fldCharType="separate"/>
        </w:r>
        <w:r w:rsidR="00C82A04">
          <w:rPr>
            <w:rFonts w:ascii="仿宋_GB2312" w:eastAsia="仿宋_GB2312" w:hAnsi="仿宋_GB2312" w:cs="仿宋_GB2312"/>
            <w:noProof/>
            <w:color w:val="000000" w:themeColor="text1"/>
          </w:rPr>
          <w:t>34</w:t>
        </w:r>
        <w:r>
          <w:rPr>
            <w:rFonts w:ascii="仿宋_GB2312" w:eastAsia="仿宋_GB2312" w:hAnsi="仿宋_GB2312" w:cs="仿宋_GB2312" w:hint="eastAsia"/>
            <w:color w:val="000000" w:themeColor="text1"/>
          </w:rPr>
          <w:fldChar w:fldCharType="end"/>
        </w:r>
      </w:hyperlink>
    </w:p>
    <w:p w:rsidR="00CE1A11" w:rsidRDefault="007545A0">
      <w:pPr>
        <w:adjustRightInd w:val="0"/>
        <w:spacing w:after="0" w:line="590" w:lineRule="exact"/>
        <w:ind w:firstLineChars="200" w:firstLine="640"/>
        <w:rPr>
          <w:rFonts w:ascii="方正楷体_GBK" w:eastAsia="方正楷体_GBK" w:hAnsi="方正楷体_GBK" w:cs="方正楷体_GBK"/>
          <w:b/>
          <w:bCs/>
          <w:color w:val="000000" w:themeColor="text1"/>
          <w:kern w:val="0"/>
          <w:szCs w:val="32"/>
        </w:rPr>
      </w:pPr>
      <w:r>
        <w:rPr>
          <w:bCs/>
          <w:color w:val="000000" w:themeColor="text1"/>
          <w:lang w:val="zh-CN"/>
        </w:rPr>
        <w:lastRenderedPageBreak/>
        <w:fldChar w:fldCharType="end"/>
      </w:r>
      <w:r w:rsidR="003B6665">
        <w:rPr>
          <w:rFonts w:ascii="仿宋_GB2312" w:eastAsia="仿宋_GB2312" w:hint="eastAsia"/>
          <w:color w:val="000000" w:themeColor="text1"/>
          <w:szCs w:val="32"/>
        </w:rPr>
        <w:t>“十四五”时期是我国开启全面建设社会主义现代化国家新征程、向第二个百年奋斗目标进军的第一个五年，也是厦门市全方位推动高质量发展超越、更高水平建设高素质高颜值现代化国际化城市的关键时期。推进现代服务业高质量发展是贯彻新发展理念、主动融入新发展格局的重要举措，也是建设现代化产业体系、提升中心城市核心竞争力和辐射力的重要抓手。根据国家《服务业创新发展大纲（2017—2025 年）》《国家发展改革委 市场监管总局关于新时代服务业高质量发展的指导意见》（发改产业</w:t>
      </w:r>
      <w:r w:rsidR="003B6665">
        <w:rPr>
          <w:rFonts w:ascii="仿宋_GB2312" w:eastAsia="仿宋_GB2312" w:hAnsi="仿宋_GB2312" w:cs="仿宋_GB2312" w:hint="eastAsia"/>
          <w:color w:val="000000" w:themeColor="text1"/>
          <w:szCs w:val="32"/>
        </w:rPr>
        <w:t>〔2019〕1602号</w:t>
      </w:r>
      <w:r w:rsidR="003B6665">
        <w:rPr>
          <w:rFonts w:ascii="仿宋_GB2312" w:eastAsia="仿宋_GB2312" w:hint="eastAsia"/>
          <w:color w:val="000000" w:themeColor="text1"/>
          <w:szCs w:val="32"/>
        </w:rPr>
        <w:t>）和《厦门市国民经济和社会发展第十四个五年规划和二〇三五年远景目标纲要》等文件精神，编制本规划。</w:t>
      </w:r>
    </w:p>
    <w:p w:rsidR="00CE1A11" w:rsidRDefault="003B6665">
      <w:pPr>
        <w:pStyle w:val="1"/>
        <w:numPr>
          <w:ilvl w:val="0"/>
          <w:numId w:val="0"/>
        </w:numPr>
        <w:adjustRightInd w:val="0"/>
        <w:snapToGrid w:val="0"/>
        <w:spacing w:line="590" w:lineRule="exact"/>
        <w:ind w:firstLineChars="200" w:firstLine="640"/>
        <w:jc w:val="both"/>
        <w:rPr>
          <w:rFonts w:hAnsi="黑体" w:cs="黑体" w:hint="default"/>
          <w:color w:val="000000" w:themeColor="text1"/>
        </w:rPr>
      </w:pPr>
      <w:bookmarkStart w:id="1" w:name="_Toc855968250"/>
      <w:bookmarkStart w:id="2" w:name="_Toc1553695954"/>
      <w:bookmarkStart w:id="3" w:name="_Toc102423762"/>
      <w:r>
        <w:rPr>
          <w:rFonts w:hAnsi="黑体" w:cs="黑体"/>
          <w:color w:val="000000" w:themeColor="text1"/>
        </w:rPr>
        <w:t>一、发展基础</w:t>
      </w:r>
      <w:bookmarkEnd w:id="1"/>
      <w:bookmarkEnd w:id="2"/>
      <w:bookmarkEnd w:id="3"/>
    </w:p>
    <w:p w:rsidR="00CE1A11" w:rsidRDefault="003B6665" w:rsidP="008D767D">
      <w:pPr>
        <w:adjustRightInd w:val="0"/>
        <w:snapToGrid w:val="0"/>
        <w:spacing w:after="0" w:line="590" w:lineRule="exact"/>
        <w:ind w:firstLineChars="200" w:firstLine="643"/>
        <w:rPr>
          <w:rFonts w:ascii="仿宋_GB2312" w:eastAsia="仿宋_GB2312" w:hAnsi="仿宋_GB2312" w:cs="仿宋_GB2312"/>
          <w:b/>
          <w:bCs/>
          <w:color w:val="000000" w:themeColor="text1"/>
          <w:szCs w:val="32"/>
        </w:rPr>
      </w:pPr>
      <w:r>
        <w:rPr>
          <w:rFonts w:ascii="楷体_GB2312" w:eastAsia="楷体_GB2312" w:hAnsi="楷体_GB2312" w:cs="楷体_GB2312" w:hint="eastAsia"/>
          <w:b/>
          <w:bCs/>
          <w:color w:val="000000" w:themeColor="text1"/>
          <w:szCs w:val="32"/>
        </w:rPr>
        <w:t>（一）总量规模持续扩大，发展成效显著</w:t>
      </w:r>
    </w:p>
    <w:p w:rsidR="00CE1A11" w:rsidRDefault="003B6665" w:rsidP="008D767D">
      <w:pPr>
        <w:adjustRightInd w:val="0"/>
        <w:spacing w:after="0" w:line="590" w:lineRule="exact"/>
        <w:ind w:firstLineChars="198" w:firstLine="634"/>
        <w:rPr>
          <w:rFonts w:ascii="仿宋_GB2312" w:eastAsia="仿宋_GB2312"/>
          <w:b/>
          <w:bCs/>
          <w:color w:val="000000" w:themeColor="text1"/>
          <w:szCs w:val="32"/>
        </w:rPr>
      </w:pPr>
      <w:r>
        <w:rPr>
          <w:rFonts w:ascii="仿宋_GB2312" w:eastAsia="仿宋_GB2312" w:cs="仿宋_GB2312" w:hint="eastAsia"/>
          <w:color w:val="000000" w:themeColor="text1"/>
          <w:szCs w:val="32"/>
        </w:rPr>
        <w:t>2020年</w:t>
      </w:r>
      <w:r>
        <w:rPr>
          <w:rFonts w:ascii="仿宋_GB2312" w:eastAsia="仿宋_GB2312" w:hAnsi="仿宋_GB2312" w:cs="仿宋_GB2312" w:hint="eastAsia"/>
          <w:color w:val="000000" w:themeColor="text1"/>
          <w:kern w:val="0"/>
          <w:szCs w:val="32"/>
        </w:rPr>
        <w:t>全市服务业实现增加值3835.3亿元，五年来年均增长7.9%，高于地区生产总值平均增速0.6个百分点；</w:t>
      </w:r>
      <w:r>
        <w:rPr>
          <w:rFonts w:ascii="仿宋_GB2312" w:eastAsia="仿宋_GB2312" w:hint="eastAsia"/>
          <w:color w:val="000000" w:themeColor="text1"/>
          <w:szCs w:val="32"/>
        </w:rPr>
        <w:t>占全市生产总值的比重首次超过60％，比2015年提高5.1个百分点。“十三五”期间服务业实际使用外资56.3亿美元，较“十二五”期间增长10.6%，占全市实际使用外资总量52.6%。服务业成为全市经济稳定增长的重要支撑。</w:t>
      </w:r>
    </w:p>
    <w:p w:rsidR="00CE1A11" w:rsidRDefault="003B6665" w:rsidP="008D767D">
      <w:pPr>
        <w:adjustRightInd w:val="0"/>
        <w:snapToGrid w:val="0"/>
        <w:spacing w:after="0" w:line="590" w:lineRule="exact"/>
        <w:ind w:firstLineChars="200" w:firstLine="643"/>
        <w:rPr>
          <w:rFonts w:ascii="仿宋_GB2312" w:eastAsia="仿宋_GB2312" w:hAnsi="仿宋_GB2312" w:cs="仿宋_GB2312"/>
          <w:b/>
          <w:bCs/>
          <w:color w:val="000000" w:themeColor="text1"/>
          <w:szCs w:val="32"/>
        </w:rPr>
      </w:pPr>
      <w:r>
        <w:rPr>
          <w:rFonts w:ascii="楷体_GB2312" w:eastAsia="楷体_GB2312" w:hAnsi="楷体_GB2312" w:cs="楷体_GB2312" w:hint="eastAsia"/>
          <w:b/>
          <w:bCs/>
          <w:color w:val="000000" w:themeColor="text1"/>
          <w:szCs w:val="32"/>
        </w:rPr>
        <w:t>（二）产业结构更趋优化，新兴动能增强</w:t>
      </w:r>
    </w:p>
    <w:p w:rsidR="00CE1A11" w:rsidRDefault="003B6665">
      <w:pPr>
        <w:adjustRightInd w:val="0"/>
        <w:snapToGrid w:val="0"/>
        <w:spacing w:after="0" w:line="590" w:lineRule="exact"/>
        <w:ind w:firstLineChars="200" w:firstLine="640"/>
        <w:rPr>
          <w:rFonts w:ascii="仿宋_GB2312" w:eastAsia="仿宋_GB2312" w:hAnsi="仿宋_GB2312" w:cs="仿宋_GB2312"/>
          <w:color w:val="000000" w:themeColor="text1"/>
          <w:kern w:val="0"/>
          <w:szCs w:val="32"/>
        </w:rPr>
      </w:pPr>
      <w:r>
        <w:rPr>
          <w:rFonts w:ascii="仿宋_GB2312" w:eastAsia="仿宋_GB2312" w:hAnsi="仿宋_GB2312" w:cs="仿宋_GB2312" w:hint="eastAsia"/>
          <w:color w:val="000000" w:themeColor="text1"/>
          <w:kern w:val="0"/>
          <w:szCs w:val="32"/>
        </w:rPr>
        <w:t>金融、现代物流、文化旅游、软件信息服务等产业集群营收超千亿。商贸业增加值从2015年的414亿元增长至2020年的818亿元，年均增长14.6%，占第三产业增加值比重21.4%，居第三产业首位。跨境电商、直播经济、社区新零售等新商业模式</w:t>
      </w:r>
      <w:r>
        <w:rPr>
          <w:rFonts w:ascii="仿宋_GB2312" w:eastAsia="仿宋_GB2312" w:hAnsi="仿宋_GB2312" w:cs="仿宋_GB2312" w:hint="eastAsia"/>
          <w:color w:val="000000" w:themeColor="text1"/>
          <w:kern w:val="0"/>
          <w:szCs w:val="32"/>
        </w:rPr>
        <w:lastRenderedPageBreak/>
        <w:t>蓬勃发展，网络零售额由220亿元增长至1500亿元，年均增长35.6%。四三九九、吉比特等5家</w:t>
      </w:r>
      <w:r w:rsidR="001519D4">
        <w:rPr>
          <w:rFonts w:ascii="仿宋_GB2312" w:eastAsia="仿宋_GB2312" w:hAnsi="仿宋_GB2312" w:cs="仿宋_GB2312" w:hint="eastAsia"/>
          <w:color w:val="000000" w:themeColor="text1"/>
          <w:kern w:val="0"/>
          <w:szCs w:val="32"/>
        </w:rPr>
        <w:t>企业</w:t>
      </w:r>
      <w:r>
        <w:rPr>
          <w:rFonts w:ascii="仿宋_GB2312" w:eastAsia="仿宋_GB2312" w:hAnsi="仿宋_GB2312" w:cs="仿宋_GB2312" w:hint="eastAsia"/>
          <w:color w:val="000000" w:themeColor="text1"/>
          <w:kern w:val="0"/>
          <w:szCs w:val="32"/>
        </w:rPr>
        <w:t>入选中国互联网企业100强。入选国家现代物流创新发展城市。港口集装箱吞吐量位居全国第7位，全球第14位（2020年）。</w:t>
      </w:r>
    </w:p>
    <w:p w:rsidR="00CE1A11" w:rsidRDefault="003B6665" w:rsidP="008D767D">
      <w:pPr>
        <w:adjustRightInd w:val="0"/>
        <w:snapToGrid w:val="0"/>
        <w:spacing w:after="0" w:line="590" w:lineRule="exact"/>
        <w:ind w:firstLineChars="200" w:firstLine="643"/>
        <w:rPr>
          <w:rFonts w:ascii="仿宋_GB2312" w:eastAsia="仿宋_GB2312" w:hAnsi="仿宋_GB2312" w:cs="仿宋_GB2312"/>
          <w:b/>
          <w:bCs/>
          <w:color w:val="000000" w:themeColor="text1"/>
          <w:szCs w:val="32"/>
        </w:rPr>
      </w:pPr>
      <w:r>
        <w:rPr>
          <w:rFonts w:ascii="楷体_GB2312" w:eastAsia="楷体_GB2312" w:hAnsi="楷体_GB2312" w:cs="楷体_GB2312" w:hint="eastAsia"/>
          <w:b/>
          <w:bCs/>
          <w:color w:val="000000" w:themeColor="text1"/>
          <w:szCs w:val="32"/>
        </w:rPr>
        <w:t>（三）改革试点取得成效，开放水平提升</w:t>
      </w:r>
    </w:p>
    <w:p w:rsidR="00CE1A11" w:rsidRDefault="003B6665" w:rsidP="001519D4">
      <w:pPr>
        <w:adjustRightInd w:val="0"/>
        <w:snapToGrid w:val="0"/>
        <w:spacing w:afterLines="50" w:line="590" w:lineRule="exact"/>
        <w:ind w:firstLineChars="200" w:firstLine="640"/>
        <w:rPr>
          <w:rFonts w:ascii="楷体" w:eastAsia="楷体" w:hAnsi="楷体" w:cs="楷体"/>
          <w:b/>
          <w:bCs/>
          <w:color w:val="000000" w:themeColor="text1"/>
          <w:spacing w:val="-1"/>
          <w:szCs w:val="32"/>
        </w:rPr>
      </w:pPr>
      <w:r>
        <w:rPr>
          <w:rFonts w:ascii="仿宋_GB2312" w:eastAsia="仿宋_GB2312" w:hAnsi="仿宋_GB2312" w:cs="仿宋_GB2312" w:hint="eastAsia"/>
          <w:color w:val="000000" w:themeColor="text1"/>
          <w:kern w:val="0"/>
          <w:szCs w:val="32"/>
        </w:rPr>
        <w:t>国家跨境电子商务综合试验区、进口贸易促进创新示范区、全面深化服务贸易创新发展试点、国家文化出口基地、国家数字服务出口基地等一批服务业试点示范项目扎实推进。外贸综合竞争力居全国第5位，服务外包示范城市综合评价位居全国前列。货物进出口总额由2015年的5166亿元增长至2020年的6916亿元，年均增长6%。</w:t>
      </w:r>
      <w:r>
        <w:rPr>
          <w:rFonts w:ascii="仿宋_GB2312" w:eastAsia="仿宋_GB2312" w:hint="eastAsia"/>
          <w:color w:val="000000" w:themeColor="text1"/>
          <w:szCs w:val="32"/>
        </w:rPr>
        <w:t>成为国家综合交通枢纽和四大国际航运中心之一</w:t>
      </w:r>
      <w:r>
        <w:rPr>
          <w:rFonts w:ascii="仿宋_GB2312" w:eastAsia="仿宋_GB2312" w:hAnsi="仿宋_GB2312" w:cs="仿宋_GB2312" w:hint="eastAsia"/>
          <w:color w:val="000000" w:themeColor="text1"/>
          <w:kern w:val="0"/>
          <w:szCs w:val="32"/>
        </w:rPr>
        <w:t>。打造一流营商环境，国家发改委发布的《中国营商环境报告》中，厦门列为全国营商环境标杆城市。</w:t>
      </w:r>
      <w:bookmarkStart w:id="4" w:name="_Toc53176835_WPSOffice_Level2"/>
      <w:bookmarkStart w:id="5" w:name="_Toc448968585_WPSOffice_Level2"/>
      <w:bookmarkStart w:id="6" w:name="_Toc164488852_WPSOffice_Level2"/>
      <w:bookmarkStart w:id="7" w:name="_Toc640748176_WPSOffice_Level2"/>
      <w:bookmarkStart w:id="8" w:name="_Toc993713453_WPSOffice_Level2"/>
      <w:bookmarkStart w:id="9" w:name="_Toc295483532_WPSOffice_Level2"/>
      <w:bookmarkStart w:id="10" w:name="_Toc623355001_WPSOffice_Level2"/>
      <w:bookmarkStart w:id="11" w:name="_Toc548678017_WPSOffice_Level2"/>
      <w:bookmarkStart w:id="12" w:name="_Toc1972521654_WPSOffice_Level2"/>
      <w:bookmarkStart w:id="13" w:name="_Toc1876553219_WPSOffice_Level2"/>
    </w:p>
    <w:p w:rsidR="00CE1A11" w:rsidRDefault="003B6665">
      <w:pPr>
        <w:adjustRightInd w:val="0"/>
        <w:snapToGrid w:val="0"/>
        <w:spacing w:after="0" w:line="590" w:lineRule="exact"/>
        <w:jc w:val="center"/>
        <w:rPr>
          <w:rFonts w:ascii="仿宋_GB2312" w:eastAsia="仿宋_GB2312" w:hAnsi="仿宋_GB2312" w:cs="仿宋_GB2312"/>
          <w:color w:val="000000" w:themeColor="text1"/>
          <w:spacing w:val="-15"/>
          <w:szCs w:val="32"/>
        </w:rPr>
      </w:pPr>
      <w:bookmarkStart w:id="14" w:name="_Toc379178284_WPSOffice_Level2"/>
      <w:r>
        <w:rPr>
          <w:rFonts w:ascii="楷体_GB2312" w:eastAsia="楷体_GB2312" w:hAnsi="楷体_GB2312" w:cs="楷体_GB2312" w:hint="eastAsia"/>
          <w:b/>
          <w:bCs/>
          <w:color w:val="000000" w:themeColor="text1"/>
          <w:szCs w:val="32"/>
        </w:rPr>
        <w:t>专栏1：“十三五”时期服务业主要指标完成情况</w:t>
      </w:r>
      <w:bookmarkEnd w:id="4"/>
      <w:bookmarkEnd w:id="5"/>
      <w:bookmarkEnd w:id="6"/>
      <w:bookmarkEnd w:id="7"/>
      <w:bookmarkEnd w:id="8"/>
      <w:bookmarkEnd w:id="9"/>
      <w:bookmarkEnd w:id="10"/>
      <w:bookmarkEnd w:id="11"/>
      <w:bookmarkEnd w:id="12"/>
      <w:bookmarkEnd w:id="13"/>
      <w:bookmarkEnd w:id="14"/>
    </w:p>
    <w:tbl>
      <w:tblPr>
        <w:tblStyle w:val="af1"/>
        <w:tblW w:w="8786" w:type="dxa"/>
        <w:jc w:val="center"/>
        <w:tblLayout w:type="fixed"/>
        <w:tblLook w:val="04A0"/>
      </w:tblPr>
      <w:tblGrid>
        <w:gridCol w:w="2632"/>
        <w:gridCol w:w="1020"/>
        <w:gridCol w:w="1725"/>
        <w:gridCol w:w="1500"/>
        <w:gridCol w:w="1909"/>
      </w:tblGrid>
      <w:tr w:rsidR="00CE1A11">
        <w:trPr>
          <w:jc w:val="center"/>
        </w:trPr>
        <w:tc>
          <w:tcPr>
            <w:tcW w:w="2632" w:type="dxa"/>
            <w:noWrap/>
            <w:vAlign w:val="center"/>
          </w:tcPr>
          <w:p w:rsidR="00CE1A11" w:rsidRDefault="003B6665">
            <w:pPr>
              <w:widowControl/>
              <w:adjustRightInd w:val="0"/>
              <w:snapToGrid w:val="0"/>
              <w:spacing w:after="0" w:line="44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指标</w:t>
            </w:r>
          </w:p>
        </w:tc>
        <w:tc>
          <w:tcPr>
            <w:tcW w:w="1020" w:type="dxa"/>
            <w:noWrap/>
            <w:vAlign w:val="center"/>
          </w:tcPr>
          <w:p w:rsidR="00CE1A11" w:rsidRDefault="003B6665">
            <w:pPr>
              <w:widowControl/>
              <w:adjustRightInd w:val="0"/>
              <w:snapToGrid w:val="0"/>
              <w:spacing w:after="0" w:line="44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单位</w:t>
            </w:r>
          </w:p>
        </w:tc>
        <w:tc>
          <w:tcPr>
            <w:tcW w:w="1725" w:type="dxa"/>
            <w:noWrap/>
            <w:vAlign w:val="center"/>
          </w:tcPr>
          <w:p w:rsidR="00CE1A11" w:rsidRDefault="003B6665">
            <w:pPr>
              <w:widowControl/>
              <w:adjustRightInd w:val="0"/>
              <w:snapToGrid w:val="0"/>
              <w:spacing w:after="0" w:line="44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2015年</w:t>
            </w:r>
          </w:p>
        </w:tc>
        <w:tc>
          <w:tcPr>
            <w:tcW w:w="1500" w:type="dxa"/>
            <w:noWrap/>
            <w:vAlign w:val="center"/>
          </w:tcPr>
          <w:p w:rsidR="00CE1A11" w:rsidRDefault="003B6665">
            <w:pPr>
              <w:widowControl/>
              <w:adjustRightInd w:val="0"/>
              <w:snapToGrid w:val="0"/>
              <w:spacing w:after="0" w:line="44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2020年</w:t>
            </w:r>
          </w:p>
        </w:tc>
        <w:tc>
          <w:tcPr>
            <w:tcW w:w="1909" w:type="dxa"/>
            <w:noWrap/>
            <w:vAlign w:val="center"/>
          </w:tcPr>
          <w:p w:rsidR="00CE1A11" w:rsidRDefault="003B6665">
            <w:pPr>
              <w:widowControl/>
              <w:adjustRightInd w:val="0"/>
              <w:snapToGrid w:val="0"/>
              <w:spacing w:after="0" w:line="44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年均增长（</w:t>
            </w:r>
            <w:r>
              <w:rPr>
                <w:rFonts w:ascii="黑体" w:eastAsia="黑体" w:hAnsi="黑体" w:cs="黑体" w:hint="eastAsia"/>
                <w:color w:val="000000" w:themeColor="text1"/>
                <w:sz w:val="28"/>
                <w:szCs w:val="28"/>
              </w:rPr>
              <w:t>%</w:t>
            </w:r>
            <w:r>
              <w:rPr>
                <w:rFonts w:ascii="黑体" w:eastAsia="黑体" w:hAnsi="黑体" w:cs="黑体" w:hint="eastAsia"/>
                <w:color w:val="000000" w:themeColor="text1"/>
                <w:spacing w:val="-15"/>
                <w:sz w:val="28"/>
                <w:szCs w:val="28"/>
              </w:rPr>
              <w:t>）</w:t>
            </w:r>
          </w:p>
        </w:tc>
      </w:tr>
      <w:tr w:rsidR="00CE1A11">
        <w:trPr>
          <w:jc w:val="center"/>
        </w:trPr>
        <w:tc>
          <w:tcPr>
            <w:tcW w:w="2632"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服务业增加值</w:t>
            </w:r>
          </w:p>
        </w:tc>
        <w:tc>
          <w:tcPr>
            <w:tcW w:w="102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z w:val="28"/>
                <w:szCs w:val="28"/>
              </w:rPr>
              <w:t>亿元</w:t>
            </w:r>
          </w:p>
        </w:tc>
        <w:tc>
          <w:tcPr>
            <w:tcW w:w="1725"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2093.8</w:t>
            </w:r>
          </w:p>
        </w:tc>
        <w:tc>
          <w:tcPr>
            <w:tcW w:w="150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z w:val="28"/>
                <w:szCs w:val="28"/>
              </w:rPr>
              <w:t>3835.3</w:t>
            </w:r>
          </w:p>
        </w:tc>
        <w:tc>
          <w:tcPr>
            <w:tcW w:w="1909"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7.9</w:t>
            </w:r>
          </w:p>
        </w:tc>
      </w:tr>
      <w:tr w:rsidR="00CE1A11">
        <w:trPr>
          <w:trHeight w:val="90"/>
          <w:jc w:val="center"/>
        </w:trPr>
        <w:tc>
          <w:tcPr>
            <w:tcW w:w="2632"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服务业增加值占</w:t>
            </w:r>
          </w:p>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地区生产总值比重</w:t>
            </w:r>
          </w:p>
        </w:tc>
        <w:tc>
          <w:tcPr>
            <w:tcW w:w="102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z w:val="28"/>
                <w:szCs w:val="28"/>
              </w:rPr>
              <w:t>%</w:t>
            </w:r>
          </w:p>
        </w:tc>
        <w:tc>
          <w:tcPr>
            <w:tcW w:w="1725"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55.0</w:t>
            </w:r>
          </w:p>
        </w:tc>
        <w:tc>
          <w:tcPr>
            <w:tcW w:w="150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60.1</w:t>
            </w:r>
          </w:p>
        </w:tc>
        <w:tc>
          <w:tcPr>
            <w:tcW w:w="1909"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w:t>
            </w:r>
          </w:p>
        </w:tc>
      </w:tr>
      <w:tr w:rsidR="00CE1A11">
        <w:trPr>
          <w:jc w:val="center"/>
        </w:trPr>
        <w:tc>
          <w:tcPr>
            <w:tcW w:w="2632"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货物进出口总额</w:t>
            </w:r>
          </w:p>
        </w:tc>
        <w:tc>
          <w:tcPr>
            <w:tcW w:w="102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亿元</w:t>
            </w:r>
          </w:p>
        </w:tc>
        <w:tc>
          <w:tcPr>
            <w:tcW w:w="1725"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5166</w:t>
            </w:r>
          </w:p>
        </w:tc>
        <w:tc>
          <w:tcPr>
            <w:tcW w:w="150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6916</w:t>
            </w:r>
          </w:p>
        </w:tc>
        <w:tc>
          <w:tcPr>
            <w:tcW w:w="1909"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6.0</w:t>
            </w:r>
          </w:p>
        </w:tc>
      </w:tr>
      <w:tr w:rsidR="00CE1A11">
        <w:trPr>
          <w:jc w:val="center"/>
        </w:trPr>
        <w:tc>
          <w:tcPr>
            <w:tcW w:w="2632"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社会消费品零售总额</w:t>
            </w:r>
          </w:p>
        </w:tc>
        <w:tc>
          <w:tcPr>
            <w:tcW w:w="102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亿元</w:t>
            </w:r>
          </w:p>
        </w:tc>
        <w:tc>
          <w:tcPr>
            <w:tcW w:w="1725"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1476</w:t>
            </w:r>
          </w:p>
        </w:tc>
        <w:tc>
          <w:tcPr>
            <w:tcW w:w="150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2294</w:t>
            </w:r>
          </w:p>
        </w:tc>
        <w:tc>
          <w:tcPr>
            <w:tcW w:w="1909"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9.2</w:t>
            </w:r>
          </w:p>
        </w:tc>
      </w:tr>
      <w:tr w:rsidR="00CE1A11">
        <w:trPr>
          <w:jc w:val="center"/>
        </w:trPr>
        <w:tc>
          <w:tcPr>
            <w:tcW w:w="2632"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软件信息服务业收入</w:t>
            </w:r>
          </w:p>
        </w:tc>
        <w:tc>
          <w:tcPr>
            <w:tcW w:w="102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亿元</w:t>
            </w:r>
          </w:p>
        </w:tc>
        <w:tc>
          <w:tcPr>
            <w:tcW w:w="1725"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922</w:t>
            </w:r>
          </w:p>
        </w:tc>
        <w:tc>
          <w:tcPr>
            <w:tcW w:w="150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pacing w:val="-15"/>
                <w:sz w:val="28"/>
                <w:szCs w:val="28"/>
              </w:rPr>
              <w:t>1241</w:t>
            </w:r>
          </w:p>
        </w:tc>
        <w:tc>
          <w:tcPr>
            <w:tcW w:w="1909"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6.1</w:t>
            </w:r>
          </w:p>
        </w:tc>
      </w:tr>
      <w:tr w:rsidR="00CE1A11">
        <w:trPr>
          <w:jc w:val="center"/>
        </w:trPr>
        <w:tc>
          <w:tcPr>
            <w:tcW w:w="2632"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金融业增加值</w:t>
            </w:r>
          </w:p>
        </w:tc>
        <w:tc>
          <w:tcPr>
            <w:tcW w:w="102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亿元</w:t>
            </w:r>
          </w:p>
        </w:tc>
        <w:tc>
          <w:tcPr>
            <w:tcW w:w="1725"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417</w:t>
            </w:r>
          </w:p>
        </w:tc>
        <w:tc>
          <w:tcPr>
            <w:tcW w:w="1500"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784</w:t>
            </w:r>
          </w:p>
        </w:tc>
        <w:tc>
          <w:tcPr>
            <w:tcW w:w="1909" w:type="dxa"/>
            <w:noWrap/>
            <w:vAlign w:val="center"/>
          </w:tcPr>
          <w:p w:rsidR="00CE1A11" w:rsidRDefault="003B6665">
            <w:pPr>
              <w:widowControl/>
              <w:adjustRightInd w:val="0"/>
              <w:snapToGrid w:val="0"/>
              <w:spacing w:after="0" w:line="440" w:lineRule="exact"/>
              <w:jc w:val="center"/>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13.3</w:t>
            </w:r>
          </w:p>
        </w:tc>
      </w:tr>
    </w:tbl>
    <w:p w:rsidR="00CE1A11" w:rsidRDefault="003B6665" w:rsidP="001519D4">
      <w:pPr>
        <w:adjustRightInd w:val="0"/>
        <w:snapToGrid w:val="0"/>
        <w:spacing w:beforeLines="50" w:after="0" w:line="590" w:lineRule="exact"/>
        <w:ind w:firstLineChars="200" w:firstLine="640"/>
        <w:rPr>
          <w:rFonts w:ascii="仿宋_GB2312" w:eastAsia="仿宋_GB2312" w:cs="仿宋_GB2312"/>
          <w:color w:val="000000" w:themeColor="text1"/>
          <w:szCs w:val="32"/>
        </w:rPr>
      </w:pPr>
      <w:r>
        <w:rPr>
          <w:rFonts w:ascii="仿宋_GB2312" w:eastAsia="仿宋_GB2312" w:hAnsi="仿宋_GB2312" w:cs="仿宋_GB2312" w:hint="eastAsia"/>
          <w:color w:val="000000" w:themeColor="text1"/>
          <w:szCs w:val="32"/>
        </w:rPr>
        <w:t>“十三五”时期，我市服务业发展取得了明显成效，但对标先进城市，仍然存在差距，主要表现为：一是</w:t>
      </w:r>
      <w:r>
        <w:rPr>
          <w:rFonts w:ascii="仿宋_GB2312" w:eastAsia="仿宋_GB2312" w:cs="仿宋_GB2312" w:hint="eastAsia"/>
          <w:color w:val="000000" w:themeColor="text1"/>
          <w:szCs w:val="32"/>
        </w:rPr>
        <w:t>生产性服务业对工业转型升级和经济提质增效的引领带动作用有待增强，生活性服</w:t>
      </w:r>
      <w:r>
        <w:rPr>
          <w:rFonts w:ascii="仿宋_GB2312" w:eastAsia="仿宋_GB2312" w:cs="仿宋_GB2312" w:hint="eastAsia"/>
          <w:color w:val="000000" w:themeColor="text1"/>
          <w:szCs w:val="32"/>
        </w:rPr>
        <w:lastRenderedPageBreak/>
        <w:t>务业有效供给不足，与居民消费升级需求存在差距。二是服务业辐射力不够强。区域性中心城市作用仍不明显，服务周边市场、服务周边工业发展的金融、商务服务、信息服务、技术研发服务等生产性服务业相对滞后，商贸设施与周边区域差异化发展不明显，对周边消费市场的拓展力度不足。三是企业综合竞争力有待提高。高质量、高水平、具有龙头带动作用的服务业骨干企业还不够多，辐射带动力强的优势产业和知名服务品牌仍然较少。</w:t>
      </w:r>
      <w:bookmarkStart w:id="15" w:name="_Toc97029413"/>
    </w:p>
    <w:p w:rsidR="00CE1A11" w:rsidRDefault="003B6665">
      <w:pPr>
        <w:pStyle w:val="1"/>
        <w:numPr>
          <w:ilvl w:val="0"/>
          <w:numId w:val="0"/>
        </w:numPr>
        <w:adjustRightInd w:val="0"/>
        <w:snapToGrid w:val="0"/>
        <w:spacing w:line="590" w:lineRule="exact"/>
        <w:ind w:firstLineChars="200" w:firstLine="640"/>
        <w:jc w:val="both"/>
        <w:rPr>
          <w:rFonts w:ascii="仿宋_GB2312" w:eastAsia="仿宋_GB2312" w:cs="仿宋_GB2312" w:hint="default"/>
          <w:color w:val="000000" w:themeColor="text1"/>
        </w:rPr>
      </w:pPr>
      <w:bookmarkStart w:id="16" w:name="_Toc102423763"/>
      <w:bookmarkStart w:id="17" w:name="_Toc2112268036"/>
      <w:bookmarkStart w:id="18" w:name="_Toc2035003202"/>
      <w:r>
        <w:rPr>
          <w:rFonts w:hAnsi="黑体" w:cs="黑体"/>
          <w:bCs/>
          <w:color w:val="000000" w:themeColor="text1"/>
        </w:rPr>
        <w:t>二、发展环境</w:t>
      </w:r>
      <w:bookmarkEnd w:id="15"/>
      <w:bookmarkEnd w:id="16"/>
      <w:bookmarkEnd w:id="17"/>
      <w:bookmarkEnd w:id="18"/>
    </w:p>
    <w:p w:rsidR="00CE1A11" w:rsidRDefault="003B6665">
      <w:pPr>
        <w:pStyle w:val="14"/>
        <w:spacing w:line="590" w:lineRule="exact"/>
        <w:ind w:firstLineChars="200" w:firstLine="640"/>
        <w:rPr>
          <w:rFonts w:ascii="仿宋_GB2312" w:eastAsia="仿宋_GB2312" w:hAnsi="仿宋" w:cstheme="minorBidi"/>
          <w:color w:val="000000" w:themeColor="text1"/>
          <w:szCs w:val="32"/>
        </w:rPr>
      </w:pPr>
      <w:r>
        <w:rPr>
          <w:rFonts w:ascii="仿宋_GB2312" w:eastAsia="仿宋_GB2312" w:hAnsi="仿宋" w:cstheme="minorBidi" w:hint="eastAsia"/>
          <w:color w:val="000000" w:themeColor="text1"/>
          <w:szCs w:val="32"/>
        </w:rPr>
        <w:t>“十四五”时期，我市服务业发展面临的机遇和挑战都有新变化。</w:t>
      </w:r>
    </w:p>
    <w:p w:rsidR="00CE1A11" w:rsidRDefault="003B6665" w:rsidP="008D767D">
      <w:pPr>
        <w:adjustRightInd w:val="0"/>
        <w:snapToGrid w:val="0"/>
        <w:spacing w:after="0" w:line="590" w:lineRule="exact"/>
        <w:ind w:firstLineChars="200" w:firstLine="643"/>
        <w:rPr>
          <w:rFonts w:ascii="仿宋_GB2312" w:eastAsia="仿宋_GB2312"/>
          <w:b/>
          <w:color w:val="000000" w:themeColor="text1"/>
          <w:szCs w:val="32"/>
        </w:rPr>
      </w:pPr>
      <w:r>
        <w:rPr>
          <w:rFonts w:ascii="楷体_GB2312" w:eastAsia="楷体_GB2312" w:hAnsi="楷体_GB2312" w:cs="楷体_GB2312" w:hint="eastAsia"/>
          <w:b/>
          <w:bCs/>
          <w:color w:val="000000" w:themeColor="text1"/>
          <w:szCs w:val="32"/>
        </w:rPr>
        <w:t>（一）机遇方面</w:t>
      </w:r>
    </w:p>
    <w:p w:rsidR="00CE1A11" w:rsidRDefault="003B6665">
      <w:pPr>
        <w:adjustRightInd w:val="0"/>
        <w:snapToGrid w:val="0"/>
        <w:spacing w:after="0" w:line="590" w:lineRule="exact"/>
        <w:ind w:firstLineChars="200" w:firstLine="640"/>
        <w:rPr>
          <w:rFonts w:ascii="仿宋_GB2312" w:eastAsia="仿宋_GB2312"/>
          <w:b/>
          <w:color w:val="000000" w:themeColor="text1"/>
          <w:szCs w:val="32"/>
        </w:rPr>
      </w:pPr>
      <w:r>
        <w:rPr>
          <w:rFonts w:ascii="仿宋_GB2312" w:eastAsia="仿宋_GB2312" w:hint="eastAsia"/>
          <w:color w:val="000000" w:themeColor="text1"/>
          <w:szCs w:val="32"/>
        </w:rPr>
        <w:t>一是新一代信息技术、互联网、人工智能、生命科学等技术不断创新和应用，引领全球产业加速、跨界融合发展，为我市服务业发展注入新动力，拓展新空间。二是《区域全面经济伙伴关系协定》（RCEP）签署，国家深入实施“一带一路”、自由贸易试验区等重大对外开放战略，为我市承接国际服务业转移、扩大服务业输出和统筹利用国内外资源提供了有利条件。三是我国开启全面建设社会主义现代化国家新征程，经济长期向好，以国内大循环为主体、国内国际双循环相互促进的新发展格局加快形成，有利于厦门发挥枢纽优势，提升现代服务业发展能级。四是国家部署全面深化改革，财税、金融、投资、国资国企、行政审批、商事制度等重大改革加速推进，将进一步激发和释放我市服务业发展潜力。五是</w:t>
      </w:r>
      <w:r>
        <w:rPr>
          <w:rFonts w:ascii="仿宋_GB2312" w:eastAsia="仿宋_GB2312"/>
          <w:color w:val="000000" w:themeColor="text1"/>
          <w:szCs w:val="32"/>
        </w:rPr>
        <w:t>随着</w:t>
      </w:r>
      <w:r>
        <w:rPr>
          <w:rFonts w:ascii="仿宋_GB2312" w:eastAsia="仿宋_GB2312" w:hint="eastAsia"/>
          <w:color w:val="000000" w:themeColor="text1"/>
          <w:szCs w:val="32"/>
        </w:rPr>
        <w:t>区域一体化、新型城镇化进程加快，厦</w:t>
      </w:r>
      <w:r>
        <w:rPr>
          <w:rFonts w:ascii="仿宋_GB2312" w:eastAsia="仿宋_GB2312" w:hint="eastAsia"/>
          <w:color w:val="000000" w:themeColor="text1"/>
          <w:szCs w:val="32"/>
        </w:rPr>
        <w:lastRenderedPageBreak/>
        <w:t>漳泉都市圈、闽西南协作区合作深入推进，为我市服务业发展提供</w:t>
      </w:r>
      <w:r>
        <w:rPr>
          <w:rFonts w:ascii="仿宋_GB2312" w:eastAsia="仿宋_GB2312"/>
          <w:color w:val="000000" w:themeColor="text1"/>
          <w:szCs w:val="32"/>
        </w:rPr>
        <w:t>了</w:t>
      </w:r>
      <w:r>
        <w:rPr>
          <w:rFonts w:ascii="仿宋_GB2312" w:eastAsia="仿宋_GB2312" w:hint="eastAsia"/>
          <w:color w:val="000000" w:themeColor="text1"/>
          <w:szCs w:val="32"/>
        </w:rPr>
        <w:t>广阔市场空间。</w:t>
      </w:r>
    </w:p>
    <w:p w:rsidR="00CE1A11" w:rsidRDefault="003B6665" w:rsidP="008D767D">
      <w:pPr>
        <w:adjustRightInd w:val="0"/>
        <w:snapToGrid w:val="0"/>
        <w:spacing w:after="0" w:line="590" w:lineRule="exact"/>
        <w:ind w:firstLineChars="200" w:firstLine="643"/>
        <w:rPr>
          <w:rFonts w:ascii="仿宋_GB2312" w:eastAsia="仿宋_GB2312"/>
          <w:b/>
          <w:color w:val="000000" w:themeColor="text1"/>
          <w:szCs w:val="32"/>
        </w:rPr>
      </w:pPr>
      <w:r>
        <w:rPr>
          <w:rFonts w:ascii="楷体_GB2312" w:eastAsia="楷体_GB2312" w:hAnsi="楷体_GB2312" w:cs="楷体_GB2312" w:hint="eastAsia"/>
          <w:b/>
          <w:bCs/>
          <w:color w:val="000000" w:themeColor="text1"/>
          <w:szCs w:val="32"/>
        </w:rPr>
        <w:t>（二）挑战方面</w:t>
      </w:r>
    </w:p>
    <w:p w:rsidR="00CE1A11" w:rsidRDefault="003B6665">
      <w:pPr>
        <w:adjustRightInd w:val="0"/>
        <w:snapToGrid w:val="0"/>
        <w:spacing w:after="0" w:line="59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一是经济全球化遭遇逆流，新冠肺炎疫情影响广泛深远，世界经济下行风险加剧，可能通过外贸外资、供应链、资金链等渠道对我国经济和金融市场产生影响。同时，国际经贸格局变化对厦门的高水平开放和外向型经济带来挑战。二是我市人口环境资源约束日益加剧与居民消费需求不断升级之间的矛盾逐步显现，养老、健康等生活性服务业有效供给不足。三是服务业发展存在区域间不平衡，岛外服务业发展水平相对滞后。四是服务业发展体制机制改革仍需深化，政府对服务业新业态新模式的管理模式还需进一步完善，投资贸易便利化仍显不足，市场准入有待进一步放宽，部分行业还存在隐性壁垒。</w:t>
      </w:r>
    </w:p>
    <w:p w:rsidR="00CE1A11" w:rsidRDefault="003B6665">
      <w:pPr>
        <w:adjustRightInd w:val="0"/>
        <w:snapToGrid w:val="0"/>
        <w:spacing w:after="0" w:line="590" w:lineRule="exact"/>
        <w:ind w:firstLineChars="200" w:firstLine="640"/>
        <w:rPr>
          <w:rFonts w:ascii="仿宋_GB2312" w:eastAsia="仿宋_GB2312"/>
          <w:color w:val="000000" w:themeColor="text1"/>
          <w:szCs w:val="32"/>
        </w:rPr>
      </w:pPr>
      <w:r>
        <w:rPr>
          <w:rFonts w:ascii="仿宋_GB2312" w:eastAsia="仿宋_GB2312" w:hint="eastAsia"/>
          <w:color w:val="000000" w:themeColor="text1"/>
          <w:szCs w:val="32"/>
        </w:rPr>
        <w:t>总体来看，“十四五”时期，厦门服务业进入提质增效关键期，我们必须顺应发展趋势、创新发展理念，围绕增强中心城市</w:t>
      </w:r>
      <w:r>
        <w:rPr>
          <w:rFonts w:ascii="仿宋_GB2312" w:eastAsia="仿宋_GB2312"/>
          <w:color w:val="000000" w:themeColor="text1"/>
          <w:szCs w:val="32"/>
        </w:rPr>
        <w:t>引领、集聚和辐射</w:t>
      </w:r>
      <w:r>
        <w:rPr>
          <w:rFonts w:ascii="仿宋_GB2312" w:eastAsia="仿宋_GB2312" w:hint="eastAsia"/>
          <w:color w:val="000000" w:themeColor="text1"/>
          <w:szCs w:val="32"/>
        </w:rPr>
        <w:t>功能，在更广维度和更高水平对接国际贸易投资规则，主动融入全球服务分工体系。全面深化改革，发挥我市产业基础较好、商业贸易活跃、枢纽功能突出、营商环境一流等优势，采取</w:t>
      </w:r>
      <w:r>
        <w:rPr>
          <w:rFonts w:ascii="仿宋_GB2312" w:eastAsia="仿宋_GB2312"/>
          <w:color w:val="000000" w:themeColor="text1"/>
          <w:szCs w:val="32"/>
        </w:rPr>
        <w:t>更加</w:t>
      </w:r>
      <w:r>
        <w:rPr>
          <w:rFonts w:ascii="仿宋_GB2312" w:eastAsia="仿宋_GB2312" w:hint="eastAsia"/>
          <w:color w:val="000000" w:themeColor="text1"/>
          <w:szCs w:val="32"/>
        </w:rPr>
        <w:t>有力</w:t>
      </w:r>
      <w:r>
        <w:rPr>
          <w:rFonts w:ascii="仿宋_GB2312" w:eastAsia="仿宋_GB2312"/>
          <w:color w:val="000000" w:themeColor="text1"/>
          <w:szCs w:val="32"/>
        </w:rPr>
        <w:t>的</w:t>
      </w:r>
      <w:r>
        <w:rPr>
          <w:rFonts w:ascii="仿宋_GB2312" w:eastAsia="仿宋_GB2312" w:hint="eastAsia"/>
          <w:color w:val="000000" w:themeColor="text1"/>
          <w:szCs w:val="32"/>
        </w:rPr>
        <w:t>措施，推动我市服务业高质量发展。</w:t>
      </w:r>
    </w:p>
    <w:p w:rsidR="00CE1A11" w:rsidRDefault="003B6665">
      <w:pPr>
        <w:pStyle w:val="1"/>
        <w:numPr>
          <w:ilvl w:val="0"/>
          <w:numId w:val="0"/>
        </w:numPr>
        <w:adjustRightInd w:val="0"/>
        <w:snapToGrid w:val="0"/>
        <w:spacing w:line="590" w:lineRule="exact"/>
        <w:ind w:firstLineChars="200" w:firstLine="640"/>
        <w:jc w:val="both"/>
        <w:rPr>
          <w:rFonts w:ascii="仿宋_GB2312" w:eastAsia="仿宋_GB2312" w:hAnsi="仿宋_GB2312" w:cs="仿宋_GB2312" w:hint="default"/>
          <w:b/>
          <w:bCs/>
          <w:color w:val="000000" w:themeColor="text1"/>
        </w:rPr>
      </w:pPr>
      <w:bookmarkStart w:id="19" w:name="_Toc102423764"/>
      <w:bookmarkStart w:id="20" w:name="_Toc1169343676"/>
      <w:bookmarkStart w:id="21" w:name="_Toc2117681002"/>
      <w:bookmarkStart w:id="22" w:name="_Toc97029414"/>
      <w:r>
        <w:rPr>
          <w:rFonts w:hAnsi="黑体" w:cs="黑体"/>
          <w:color w:val="000000" w:themeColor="text1"/>
        </w:rPr>
        <w:t>三、发展思路</w:t>
      </w:r>
      <w:bookmarkEnd w:id="19"/>
      <w:bookmarkEnd w:id="20"/>
      <w:bookmarkEnd w:id="21"/>
      <w:bookmarkEnd w:id="22"/>
    </w:p>
    <w:p w:rsidR="00CE1A11" w:rsidRDefault="003B6665" w:rsidP="008D767D">
      <w:pPr>
        <w:pStyle w:val="2"/>
        <w:numPr>
          <w:ilvl w:val="0"/>
          <w:numId w:val="0"/>
        </w:numPr>
        <w:adjustRightInd w:val="0"/>
        <w:snapToGrid w:val="0"/>
        <w:spacing w:line="590" w:lineRule="exact"/>
        <w:ind w:firstLineChars="200" w:firstLine="643"/>
        <w:jc w:val="both"/>
        <w:rPr>
          <w:rFonts w:ascii="仿宋_GB2312" w:eastAsia="仿宋_GB2312" w:hAnsi="仿宋_GB2312" w:cs="仿宋_GB2312" w:hint="default"/>
          <w:b/>
          <w:bCs/>
          <w:color w:val="000000" w:themeColor="text1"/>
        </w:rPr>
      </w:pPr>
      <w:bookmarkStart w:id="23" w:name="_Toc92698680"/>
      <w:bookmarkStart w:id="24" w:name="_Toc102423765"/>
      <w:bookmarkStart w:id="25" w:name="_Toc1843471207"/>
      <w:bookmarkStart w:id="26" w:name="_Toc1909917777"/>
      <w:bookmarkStart w:id="27" w:name="_Toc97029415"/>
      <w:r>
        <w:rPr>
          <w:rFonts w:ascii="楷体_GB2312" w:eastAsia="楷体_GB2312" w:hAnsi="楷体_GB2312" w:cs="楷体_GB2312"/>
          <w:b/>
          <w:bCs/>
          <w:color w:val="000000" w:themeColor="text1"/>
        </w:rPr>
        <w:t>（一）</w:t>
      </w:r>
      <w:r>
        <w:rPr>
          <w:rFonts w:ascii="楷体_GB2312" w:eastAsia="楷体_GB2312" w:hAnsi="楷体_GB2312" w:cs="楷体_GB2312" w:hint="default"/>
          <w:b/>
          <w:bCs/>
          <w:color w:val="000000" w:themeColor="text1"/>
        </w:rPr>
        <w:t>总体思路</w:t>
      </w:r>
      <w:bookmarkEnd w:id="23"/>
      <w:bookmarkEnd w:id="24"/>
      <w:bookmarkEnd w:id="25"/>
      <w:bookmarkEnd w:id="26"/>
      <w:bookmarkEnd w:id="27"/>
    </w:p>
    <w:p w:rsidR="00CE1A11" w:rsidRDefault="003B6665">
      <w:pPr>
        <w:adjustRightInd w:val="0"/>
        <w:snapToGrid w:val="0"/>
        <w:spacing w:after="0" w:line="590" w:lineRule="exact"/>
        <w:ind w:firstLineChars="200" w:firstLine="640"/>
        <w:rPr>
          <w:rFonts w:ascii="仿宋_GB2312" w:eastAsia="仿宋_GB2312" w:hAnsi="仿宋_GB2312" w:cs="仿宋_GB2312"/>
          <w:color w:val="000000" w:themeColor="text1"/>
          <w:kern w:val="0"/>
          <w:szCs w:val="32"/>
          <w:lang w:val="en-GB"/>
        </w:rPr>
      </w:pPr>
      <w:r>
        <w:rPr>
          <w:rFonts w:ascii="仿宋_GB2312" w:eastAsia="仿宋_GB2312" w:hAnsi="仿宋_GB2312" w:cs="仿宋_GB2312" w:hint="eastAsia"/>
          <w:color w:val="000000" w:themeColor="text1"/>
          <w:kern w:val="0"/>
          <w:szCs w:val="32"/>
          <w:lang w:val="en-GB"/>
        </w:rPr>
        <w:t>以习近平新时代中国特色社会主义思想为指导，全面贯彻党的十九大和十九届历次全会精神，立足新发展阶段，贯彻新发展</w:t>
      </w:r>
      <w:r>
        <w:rPr>
          <w:rFonts w:ascii="仿宋_GB2312" w:eastAsia="仿宋_GB2312" w:hAnsi="仿宋_GB2312" w:cs="仿宋_GB2312" w:hint="eastAsia"/>
          <w:color w:val="000000" w:themeColor="text1"/>
          <w:kern w:val="0"/>
          <w:szCs w:val="32"/>
          <w:lang w:val="en-GB"/>
        </w:rPr>
        <w:lastRenderedPageBreak/>
        <w:t>理念，积极服务和主动融入新发展格局，以现代服务业高质量发展促进产业升级，以数字化、融合化、绿色化、国际化为发展方向，强化新业态新模式新消费培育，努力构建优质高效、充满活力、竞争性强的现代服务业体系，提升中心城市核心竞争力和对外辐射力，为更高水平建设高素质高颜值现代化国际化城市提供重要支撑。</w:t>
      </w:r>
    </w:p>
    <w:p w:rsidR="00CE1A11" w:rsidRDefault="003B6665" w:rsidP="008D767D">
      <w:pPr>
        <w:pStyle w:val="2"/>
        <w:numPr>
          <w:ilvl w:val="0"/>
          <w:numId w:val="0"/>
        </w:numPr>
        <w:adjustRightInd w:val="0"/>
        <w:snapToGrid w:val="0"/>
        <w:spacing w:line="590" w:lineRule="exact"/>
        <w:ind w:firstLineChars="200" w:firstLine="643"/>
        <w:jc w:val="both"/>
        <w:rPr>
          <w:rFonts w:ascii="仿宋_GB2312" w:eastAsia="仿宋_GB2312" w:hAnsi="仿宋_GB2312" w:cs="仿宋_GB2312" w:hint="default"/>
          <w:b/>
          <w:bCs/>
          <w:color w:val="000000" w:themeColor="text1"/>
        </w:rPr>
      </w:pPr>
      <w:bookmarkStart w:id="28" w:name="_Toc1577537291"/>
      <w:bookmarkStart w:id="29" w:name="_Toc822194247"/>
      <w:bookmarkStart w:id="30" w:name="_Toc97029416"/>
      <w:bookmarkStart w:id="31" w:name="_Toc102423766"/>
      <w:r>
        <w:rPr>
          <w:rFonts w:ascii="楷体_GB2312" w:eastAsia="楷体_GB2312" w:hAnsi="楷体_GB2312" w:cs="楷体_GB2312"/>
          <w:b/>
          <w:bCs/>
          <w:color w:val="000000" w:themeColor="text1"/>
        </w:rPr>
        <w:t>（二）</w:t>
      </w:r>
      <w:r>
        <w:rPr>
          <w:rFonts w:ascii="楷体_GB2312" w:eastAsia="楷体_GB2312" w:hAnsi="楷体_GB2312" w:cs="楷体_GB2312" w:hint="default"/>
          <w:b/>
          <w:bCs/>
          <w:color w:val="000000" w:themeColor="text1"/>
        </w:rPr>
        <w:t>基本原则</w:t>
      </w:r>
      <w:bookmarkEnd w:id="28"/>
      <w:bookmarkEnd w:id="29"/>
      <w:bookmarkEnd w:id="30"/>
      <w:bookmarkEnd w:id="31"/>
    </w:p>
    <w:p w:rsidR="00CE1A11" w:rsidRDefault="003B6665" w:rsidP="008D767D">
      <w:pPr>
        <w:adjustRightInd w:val="0"/>
        <w:snapToGrid w:val="0"/>
        <w:spacing w:after="0" w:line="590" w:lineRule="exact"/>
        <w:ind w:firstLineChars="200" w:firstLine="643"/>
        <w:rPr>
          <w:rFonts w:ascii="仿宋_GB2312" w:eastAsia="仿宋_GB2312" w:hAnsi="仿宋_GB2312" w:cs="仿宋_GB2312"/>
          <w:color w:val="000000" w:themeColor="text1"/>
          <w:kern w:val="0"/>
          <w:szCs w:val="32"/>
          <w:lang w:val="en-GB"/>
        </w:rPr>
      </w:pPr>
      <w:r>
        <w:rPr>
          <w:rFonts w:ascii="仿宋_GB2312" w:eastAsia="仿宋_GB2312" w:hAnsi="仿宋_GB2312" w:cs="仿宋_GB2312" w:hint="eastAsia"/>
          <w:b/>
          <w:bCs/>
          <w:color w:val="000000" w:themeColor="text1"/>
          <w:kern w:val="0"/>
          <w:szCs w:val="32"/>
        </w:rPr>
        <w:t>1.</w:t>
      </w:r>
      <w:r>
        <w:rPr>
          <w:rFonts w:ascii="仿宋_GB2312" w:eastAsia="仿宋_GB2312" w:hAnsi="仿宋_GB2312" w:cs="仿宋_GB2312" w:hint="eastAsia"/>
          <w:b/>
          <w:bCs/>
          <w:color w:val="000000" w:themeColor="text1"/>
          <w:kern w:val="0"/>
          <w:szCs w:val="32"/>
          <w:lang w:val="en-GB"/>
        </w:rPr>
        <w:t>数字赋能，跨界融合。</w:t>
      </w:r>
      <w:r>
        <w:rPr>
          <w:rFonts w:ascii="仿宋_GB2312" w:eastAsia="仿宋_GB2312" w:hAnsi="仿宋_GB2312" w:cs="仿宋_GB2312" w:hint="eastAsia"/>
          <w:color w:val="000000" w:themeColor="text1"/>
          <w:kern w:val="0"/>
          <w:szCs w:val="32"/>
          <w:lang w:val="en-GB"/>
        </w:rPr>
        <w:t>抢抓新一轮技术革命机遇，加快服务业数字化转型，拓展数字化场景应用，推动服务业技术创新、业态创新和模式创新，增强服务业发展新动能。促进现代服务业与先进制造业、现代农业深度融合，培育产业融合新业态新模式，提升服务供给质量和效率。</w:t>
      </w:r>
    </w:p>
    <w:p w:rsidR="00CE1A11" w:rsidRDefault="003B6665" w:rsidP="008D767D">
      <w:pPr>
        <w:adjustRightInd w:val="0"/>
        <w:snapToGrid w:val="0"/>
        <w:spacing w:after="0" w:line="590" w:lineRule="exact"/>
        <w:ind w:firstLineChars="200" w:firstLine="643"/>
        <w:rPr>
          <w:rFonts w:ascii="仿宋_GB2312" w:eastAsia="仿宋_GB2312" w:hAnsi="仿宋_GB2312" w:cs="仿宋_GB2312"/>
          <w:color w:val="000000" w:themeColor="text1"/>
          <w:kern w:val="0"/>
          <w:szCs w:val="32"/>
          <w:lang w:val="en-GB"/>
        </w:rPr>
      </w:pPr>
      <w:r>
        <w:rPr>
          <w:rFonts w:ascii="仿宋_GB2312" w:eastAsia="仿宋_GB2312" w:hAnsi="仿宋_GB2312" w:cs="仿宋_GB2312" w:hint="eastAsia"/>
          <w:b/>
          <w:bCs/>
          <w:color w:val="000000" w:themeColor="text1"/>
          <w:kern w:val="0"/>
          <w:szCs w:val="32"/>
        </w:rPr>
        <w:t>2.</w:t>
      </w:r>
      <w:r>
        <w:rPr>
          <w:rFonts w:ascii="仿宋_GB2312" w:eastAsia="仿宋_GB2312" w:hAnsi="仿宋_GB2312" w:cs="仿宋_GB2312" w:hint="eastAsia"/>
          <w:b/>
          <w:bCs/>
          <w:color w:val="000000" w:themeColor="text1"/>
          <w:kern w:val="0"/>
          <w:szCs w:val="32"/>
          <w:lang w:val="en-GB"/>
        </w:rPr>
        <w:t>市场导向，品牌引领。</w:t>
      </w:r>
      <w:r>
        <w:rPr>
          <w:rFonts w:ascii="仿宋_GB2312" w:eastAsia="仿宋_GB2312" w:hAnsi="仿宋_GB2312" w:cs="仿宋_GB2312" w:hint="eastAsia"/>
          <w:color w:val="000000" w:themeColor="text1"/>
          <w:kern w:val="0"/>
          <w:szCs w:val="32"/>
          <w:lang w:val="en-GB"/>
        </w:rPr>
        <w:t>充分发挥市场在配置资源中的决定性作用，更好发挥政府产业引导和政策扶持作用，持续打造公平竞争的市场环境。立足高质量发展要求和高品质生活需要，发展高端高质服务业，巩固提升服务业优势和能级，着力塑造“厦门服务”品牌新形象。</w:t>
      </w:r>
    </w:p>
    <w:p w:rsidR="00CE1A11" w:rsidRDefault="003B6665" w:rsidP="008D767D">
      <w:pPr>
        <w:adjustRightInd w:val="0"/>
        <w:snapToGrid w:val="0"/>
        <w:spacing w:after="0" w:line="590" w:lineRule="exact"/>
        <w:ind w:firstLineChars="200" w:firstLine="643"/>
        <w:rPr>
          <w:rFonts w:ascii="仿宋_GB2312" w:eastAsia="仿宋_GB2312" w:hAnsi="仿宋_GB2312" w:cs="仿宋_GB2312"/>
          <w:color w:val="000000" w:themeColor="text1"/>
          <w:kern w:val="0"/>
          <w:szCs w:val="32"/>
          <w:lang w:val="en-GB"/>
        </w:rPr>
      </w:pPr>
      <w:r>
        <w:rPr>
          <w:rFonts w:ascii="仿宋_GB2312" w:eastAsia="仿宋_GB2312" w:hAnsi="仿宋_GB2312" w:cs="仿宋_GB2312" w:hint="eastAsia"/>
          <w:b/>
          <w:bCs/>
          <w:color w:val="000000" w:themeColor="text1"/>
          <w:kern w:val="0"/>
          <w:szCs w:val="32"/>
        </w:rPr>
        <w:t>3.</w:t>
      </w:r>
      <w:r>
        <w:rPr>
          <w:rFonts w:ascii="仿宋_GB2312" w:eastAsia="仿宋_GB2312" w:hAnsi="仿宋_GB2312" w:cs="仿宋_GB2312" w:hint="eastAsia"/>
          <w:b/>
          <w:bCs/>
          <w:color w:val="000000" w:themeColor="text1"/>
          <w:kern w:val="0"/>
          <w:szCs w:val="32"/>
          <w:lang w:val="en-GB"/>
        </w:rPr>
        <w:t>深化改革，扩大开放。</w:t>
      </w:r>
      <w:r>
        <w:rPr>
          <w:rFonts w:ascii="仿宋_GB2312" w:eastAsia="仿宋_GB2312" w:hAnsi="仿宋_GB2312" w:cs="仿宋_GB2312" w:hint="eastAsia"/>
          <w:color w:val="000000" w:themeColor="text1"/>
          <w:kern w:val="0"/>
          <w:szCs w:val="32"/>
          <w:lang w:val="en-GB"/>
        </w:rPr>
        <w:t>深化重点服务领域改革，完善市场准入机制，创新优化监管模式，强化政策服务配套，激发服务业市场主体发展活力。主动融入国家开放发展战略，对接国际新理念、新规则，深度参与国际分工合作，推动服务业在更大范围、更宽领域、更深层次扩大开放，集聚国际高端服务要素，提升区域辐射力。</w:t>
      </w:r>
    </w:p>
    <w:p w:rsidR="00CE1A11" w:rsidRDefault="003B6665" w:rsidP="008D767D">
      <w:pPr>
        <w:pStyle w:val="2"/>
        <w:numPr>
          <w:ilvl w:val="0"/>
          <w:numId w:val="0"/>
        </w:numPr>
        <w:adjustRightInd w:val="0"/>
        <w:snapToGrid w:val="0"/>
        <w:spacing w:line="590" w:lineRule="exact"/>
        <w:ind w:firstLineChars="200" w:firstLine="643"/>
        <w:jc w:val="both"/>
        <w:rPr>
          <w:rFonts w:ascii="仿宋_GB2312" w:eastAsia="仿宋_GB2312" w:hAnsi="仿宋_GB2312" w:cs="仿宋_GB2312" w:hint="default"/>
          <w:b/>
          <w:bCs/>
          <w:color w:val="000000" w:themeColor="text1"/>
        </w:rPr>
      </w:pPr>
      <w:bookmarkStart w:id="32" w:name="_Toc1042687006"/>
      <w:bookmarkStart w:id="33" w:name="_Toc97029417"/>
      <w:bookmarkStart w:id="34" w:name="_Toc102423767"/>
      <w:bookmarkStart w:id="35" w:name="_Toc922055500"/>
      <w:r>
        <w:rPr>
          <w:rFonts w:ascii="楷体_GB2312" w:eastAsia="楷体_GB2312" w:hAnsi="楷体_GB2312" w:cs="楷体_GB2312"/>
          <w:b/>
          <w:bCs/>
          <w:color w:val="000000" w:themeColor="text1"/>
        </w:rPr>
        <w:lastRenderedPageBreak/>
        <w:t>（三）</w:t>
      </w:r>
      <w:r>
        <w:rPr>
          <w:rFonts w:ascii="楷体_GB2312" w:eastAsia="楷体_GB2312" w:hAnsi="楷体_GB2312" w:cs="楷体_GB2312" w:hint="default"/>
          <w:b/>
          <w:bCs/>
          <w:color w:val="000000" w:themeColor="text1"/>
        </w:rPr>
        <w:t>发展目标</w:t>
      </w:r>
      <w:bookmarkEnd w:id="32"/>
      <w:bookmarkEnd w:id="33"/>
      <w:bookmarkEnd w:id="34"/>
      <w:bookmarkEnd w:id="35"/>
    </w:p>
    <w:p w:rsidR="00CE1A11" w:rsidRDefault="003B6665">
      <w:pPr>
        <w:pStyle w:val="12"/>
        <w:adjustRightInd w:val="0"/>
        <w:snapToGrid w:val="0"/>
        <w:spacing w:line="590" w:lineRule="exact"/>
        <w:ind w:left="0" w:firstLineChars="200" w:firstLine="640"/>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到</w:t>
      </w:r>
      <w:r>
        <w:rPr>
          <w:rFonts w:ascii="仿宋_GB2312" w:eastAsia="仿宋_GB2312" w:hAnsi="仿宋_GB2312" w:cs="仿宋_GB2312" w:hint="eastAsia"/>
          <w:color w:val="000000" w:themeColor="text1"/>
          <w:sz w:val="32"/>
          <w:szCs w:val="32"/>
          <w:lang w:val="en-US"/>
        </w:rPr>
        <w:t>2025年，</w:t>
      </w:r>
      <w:r>
        <w:rPr>
          <w:rFonts w:ascii="仿宋_GB2312" w:eastAsia="仿宋_GB2312" w:hint="eastAsia"/>
          <w:color w:val="000000" w:themeColor="text1"/>
          <w:sz w:val="32"/>
          <w:szCs w:val="32"/>
        </w:rPr>
        <w:t>服务业发展规模稳步提升，产业结构和区域布局更加优化，商贸物流、金融服务、软件信息和科技服务、文旅创意等支柱产业地位突出，</w:t>
      </w:r>
      <w:r>
        <w:rPr>
          <w:rFonts w:ascii="仿宋_GB2312" w:eastAsia="仿宋_GB2312" w:hAnsi="仿宋_GB2312" w:cs="仿宋_GB2312" w:hint="eastAsia"/>
          <w:color w:val="000000" w:themeColor="text1"/>
          <w:sz w:val="32"/>
          <w:szCs w:val="32"/>
        </w:rPr>
        <w:t>优质高效、充满活力、竞争性强的现代服务业体系基本形成，</w:t>
      </w:r>
      <w:r>
        <w:rPr>
          <w:rFonts w:ascii="仿宋_GB2312" w:eastAsia="仿宋_GB2312" w:hint="eastAsia"/>
          <w:color w:val="000000" w:themeColor="text1"/>
          <w:sz w:val="32"/>
          <w:szCs w:val="32"/>
        </w:rPr>
        <w:t>服务经济支撑作用更加突出，质量效益达到国内先进城市水平，</w:t>
      </w:r>
      <w:r>
        <w:rPr>
          <w:rFonts w:ascii="仿宋_GB2312" w:eastAsia="仿宋_GB2312" w:hAnsi="仿宋_GB2312" w:cs="仿宋_GB2312" w:hint="eastAsia"/>
          <w:color w:val="000000" w:themeColor="text1"/>
          <w:sz w:val="32"/>
          <w:szCs w:val="32"/>
        </w:rPr>
        <w:t>服务业竞争力和辐射力进一步增强。</w:t>
      </w:r>
    </w:p>
    <w:p w:rsidR="00CE1A11" w:rsidRDefault="003B6665" w:rsidP="008D767D">
      <w:pPr>
        <w:pStyle w:val="12"/>
        <w:adjustRightInd w:val="0"/>
        <w:snapToGrid w:val="0"/>
        <w:spacing w:line="590" w:lineRule="exact"/>
        <w:ind w:left="0" w:firstLineChars="200" w:firstLine="643"/>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lang w:val="en-US"/>
        </w:rPr>
        <w:t>1.</w:t>
      </w:r>
      <w:r>
        <w:rPr>
          <w:rFonts w:ascii="仿宋_GB2312" w:eastAsia="仿宋_GB2312" w:hAnsi="仿宋_GB2312" w:cs="仿宋_GB2312" w:hint="eastAsia"/>
          <w:b/>
          <w:bCs/>
          <w:color w:val="000000" w:themeColor="text1"/>
          <w:sz w:val="32"/>
          <w:szCs w:val="32"/>
        </w:rPr>
        <w:t>现代流通服务体系更加完善。</w:t>
      </w:r>
      <w:r>
        <w:rPr>
          <w:rFonts w:ascii="仿宋_GB2312" w:eastAsia="仿宋_GB2312" w:hint="eastAsia"/>
          <w:color w:val="000000" w:themeColor="text1"/>
          <w:sz w:val="32"/>
          <w:szCs w:val="32"/>
        </w:rPr>
        <w:t>国际性综合交通枢纽功能进一步提升，互联互通、高效便捷的海陆空运输网络更加完善。深度融入国际物流供应链体系建设，推动商贸流通企业创新转型，逐步建成设施一体衔接、信息互联互通、市场公平有序、产业要素聚集、运行安全高效的现代流通体系。</w:t>
      </w:r>
    </w:p>
    <w:p w:rsidR="00CE1A11" w:rsidRDefault="003B6665" w:rsidP="008D767D">
      <w:pPr>
        <w:pStyle w:val="12"/>
        <w:adjustRightInd w:val="0"/>
        <w:snapToGrid w:val="0"/>
        <w:spacing w:line="590" w:lineRule="exact"/>
        <w:ind w:left="0" w:firstLineChars="200" w:firstLine="658"/>
        <w:jc w:val="both"/>
        <w:rPr>
          <w:rFonts w:ascii="仿宋_GB2312" w:eastAsia="仿宋_GB2312" w:hAnsi="仿宋_GB2312" w:cs="仿宋_GB2312"/>
          <w:color w:val="000000" w:themeColor="text1"/>
          <w:spacing w:val="4"/>
          <w:sz w:val="32"/>
          <w:szCs w:val="32"/>
        </w:rPr>
      </w:pPr>
      <w:r>
        <w:rPr>
          <w:rFonts w:ascii="仿宋_GB2312" w:eastAsia="仿宋_GB2312" w:hAnsi="仿宋_GB2312" w:cs="仿宋_GB2312" w:hint="eastAsia"/>
          <w:b/>
          <w:bCs/>
          <w:color w:val="000000" w:themeColor="text1"/>
          <w:spacing w:val="4"/>
          <w:sz w:val="32"/>
          <w:szCs w:val="32"/>
          <w:lang w:val="en-US"/>
        </w:rPr>
        <w:t>2.</w:t>
      </w:r>
      <w:r>
        <w:rPr>
          <w:rFonts w:ascii="仿宋_GB2312" w:eastAsia="仿宋_GB2312" w:hAnsi="仿宋_GB2312" w:cs="仿宋_GB2312" w:hint="eastAsia"/>
          <w:b/>
          <w:bCs/>
          <w:color w:val="000000" w:themeColor="text1"/>
          <w:spacing w:val="4"/>
          <w:sz w:val="32"/>
          <w:szCs w:val="32"/>
        </w:rPr>
        <w:t>生产服务功能持续增强。</w:t>
      </w:r>
      <w:r>
        <w:rPr>
          <w:rFonts w:ascii="仿宋_GB2312" w:eastAsia="仿宋_GB2312" w:hAnsi="仿宋_GB2312" w:cs="仿宋_GB2312" w:hint="eastAsia"/>
          <w:color w:val="000000" w:themeColor="text1"/>
          <w:spacing w:val="4"/>
          <w:sz w:val="32"/>
          <w:szCs w:val="32"/>
        </w:rPr>
        <w:t>信息服务、</w:t>
      </w:r>
      <w:r>
        <w:rPr>
          <w:rFonts w:ascii="仿宋_GB2312" w:eastAsia="仿宋_GB2312" w:hint="eastAsia"/>
          <w:color w:val="000000" w:themeColor="text1"/>
          <w:spacing w:val="4"/>
          <w:sz w:val="32"/>
          <w:szCs w:val="32"/>
        </w:rPr>
        <w:t>科技服</w:t>
      </w:r>
      <w:r>
        <w:rPr>
          <w:rFonts w:ascii="仿宋_GB2312" w:eastAsia="仿宋_GB2312" w:hAnsi="仿宋_GB2312" w:cs="仿宋_GB2312" w:hint="eastAsia"/>
          <w:color w:val="000000" w:themeColor="text1"/>
          <w:spacing w:val="4"/>
          <w:sz w:val="32"/>
          <w:szCs w:val="32"/>
        </w:rPr>
        <w:t>务、金融服务、商务服务、人力资源服务、节能环保服务等生产性服务业向专业化和价值链高端延伸，知识密集型服务业发展壮大，对制造业</w:t>
      </w:r>
      <w:r>
        <w:rPr>
          <w:rFonts w:ascii="仿宋_GB2312" w:eastAsia="仿宋_GB2312" w:cs="仿宋_GB2312" w:hint="eastAsia"/>
          <w:color w:val="000000" w:themeColor="text1"/>
          <w:spacing w:val="4"/>
          <w:sz w:val="32"/>
          <w:szCs w:val="32"/>
        </w:rPr>
        <w:t>转型升级和经济提质增效的引领带动作用进一步增强。</w:t>
      </w:r>
    </w:p>
    <w:p w:rsidR="00CE1A11" w:rsidRDefault="003B6665" w:rsidP="001519D4">
      <w:pPr>
        <w:pStyle w:val="12"/>
        <w:adjustRightInd w:val="0"/>
        <w:snapToGrid w:val="0"/>
        <w:spacing w:afterLines="50" w:line="590" w:lineRule="exact"/>
        <w:ind w:left="0" w:firstLineChars="200" w:firstLine="643"/>
        <w:jc w:val="both"/>
        <w:rPr>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 w:val="32"/>
          <w:szCs w:val="32"/>
          <w:lang w:val="en-US"/>
        </w:rPr>
        <w:t>3.</w:t>
      </w:r>
      <w:r>
        <w:rPr>
          <w:rFonts w:ascii="仿宋_GB2312" w:eastAsia="仿宋_GB2312" w:hAnsi="仿宋_GB2312" w:cs="仿宋_GB2312" w:hint="eastAsia"/>
          <w:b/>
          <w:bCs/>
          <w:color w:val="000000" w:themeColor="text1"/>
          <w:sz w:val="32"/>
          <w:szCs w:val="32"/>
        </w:rPr>
        <w:t>高品质消费服务体系加快形成。</w:t>
      </w:r>
      <w:r>
        <w:rPr>
          <w:rFonts w:ascii="仿宋_GB2312" w:eastAsia="仿宋_GB2312" w:hAnsi="仿宋_GB2312" w:cs="仿宋_GB2312" w:hint="eastAsia"/>
          <w:color w:val="000000" w:themeColor="text1"/>
          <w:sz w:val="32"/>
          <w:szCs w:val="32"/>
        </w:rPr>
        <w:t>区域消费中心城市辐射力进一步增强，顺应生活方式转变和消费升级趋势，旅游休闲、文化创意、健康服务、教育服务等有效供给增加，更好满足多层次、多样化需求，服务品质和消费满意度全面提升。</w:t>
      </w:r>
    </w:p>
    <w:p w:rsidR="00CE1A11" w:rsidRDefault="003B6665">
      <w:pPr>
        <w:adjustRightInd w:val="0"/>
        <w:snapToGrid w:val="0"/>
        <w:spacing w:after="0" w:line="590" w:lineRule="exact"/>
        <w:jc w:val="center"/>
        <w:rPr>
          <w:rFonts w:ascii="仿宋_GB2312" w:eastAsia="仿宋_GB2312" w:hAnsi="仿宋_GB2312" w:cs="仿宋_GB2312"/>
          <w:color w:val="000000" w:themeColor="text1"/>
          <w:spacing w:val="-15"/>
          <w:szCs w:val="32"/>
        </w:rPr>
      </w:pPr>
      <w:bookmarkStart w:id="36" w:name="_Toc300777115_WPSOffice_Level2"/>
      <w:bookmarkStart w:id="37" w:name="_Toc1818966743_WPSOffice_Level2"/>
      <w:bookmarkStart w:id="38" w:name="_Toc1007677502_WPSOffice_Level2"/>
      <w:bookmarkStart w:id="39" w:name="_Toc2083087718_WPSOffice_Level2"/>
      <w:bookmarkStart w:id="40" w:name="_Toc217131898_WPSOffice_Level2"/>
      <w:bookmarkStart w:id="41" w:name="_Toc956868709_WPSOffice_Level2"/>
      <w:bookmarkStart w:id="42" w:name="_Toc106314699_WPSOffice_Level2"/>
      <w:bookmarkStart w:id="43" w:name="_Toc1892935457_WPSOffice_Level2"/>
      <w:bookmarkStart w:id="44" w:name="_Toc883539497_WPSOffice_Level2"/>
      <w:bookmarkStart w:id="45" w:name="_Toc628110549_WPSOffice_Level2"/>
      <w:bookmarkStart w:id="46" w:name="_Toc677198191_WPSOffice_Level2"/>
      <w:r>
        <w:rPr>
          <w:rFonts w:ascii="楷体_GB2312" w:eastAsia="楷体_GB2312" w:hAnsi="楷体_GB2312" w:cs="楷体_GB2312" w:hint="eastAsia"/>
          <w:b/>
          <w:bCs/>
          <w:color w:val="000000" w:themeColor="text1"/>
          <w:szCs w:val="32"/>
        </w:rPr>
        <w:t>专栏2：“十四五”时期服务业发展主要指标</w:t>
      </w:r>
      <w:bookmarkEnd w:id="36"/>
      <w:bookmarkEnd w:id="37"/>
      <w:bookmarkEnd w:id="38"/>
      <w:bookmarkEnd w:id="39"/>
      <w:bookmarkEnd w:id="40"/>
      <w:bookmarkEnd w:id="41"/>
      <w:bookmarkEnd w:id="42"/>
      <w:bookmarkEnd w:id="43"/>
      <w:bookmarkEnd w:id="44"/>
      <w:bookmarkEnd w:id="45"/>
      <w:bookmarkEnd w:id="46"/>
    </w:p>
    <w:tbl>
      <w:tblPr>
        <w:tblStyle w:val="af1"/>
        <w:tblW w:w="8845" w:type="dxa"/>
        <w:jc w:val="center"/>
        <w:tblLayout w:type="fixed"/>
        <w:tblLook w:val="04A0"/>
      </w:tblPr>
      <w:tblGrid>
        <w:gridCol w:w="2640"/>
        <w:gridCol w:w="1200"/>
        <w:gridCol w:w="1590"/>
        <w:gridCol w:w="1634"/>
        <w:gridCol w:w="1781"/>
      </w:tblGrid>
      <w:tr w:rsidR="00CE1A11">
        <w:trPr>
          <w:jc w:val="center"/>
        </w:trPr>
        <w:tc>
          <w:tcPr>
            <w:tcW w:w="2640" w:type="dxa"/>
            <w:noWrap/>
            <w:vAlign w:val="center"/>
          </w:tcPr>
          <w:p w:rsidR="00CE1A11" w:rsidRDefault="003B6665">
            <w:pPr>
              <w:widowControl/>
              <w:adjustRightInd w:val="0"/>
              <w:snapToGrid w:val="0"/>
              <w:spacing w:after="0" w:line="59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指标</w:t>
            </w:r>
          </w:p>
        </w:tc>
        <w:tc>
          <w:tcPr>
            <w:tcW w:w="1200" w:type="dxa"/>
            <w:noWrap/>
            <w:vAlign w:val="center"/>
          </w:tcPr>
          <w:p w:rsidR="00CE1A11" w:rsidRDefault="003B6665">
            <w:pPr>
              <w:widowControl/>
              <w:adjustRightInd w:val="0"/>
              <w:snapToGrid w:val="0"/>
              <w:spacing w:after="0" w:line="59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单位</w:t>
            </w:r>
          </w:p>
        </w:tc>
        <w:tc>
          <w:tcPr>
            <w:tcW w:w="1590" w:type="dxa"/>
            <w:noWrap/>
            <w:vAlign w:val="center"/>
          </w:tcPr>
          <w:p w:rsidR="00CE1A11" w:rsidRDefault="003B6665">
            <w:pPr>
              <w:widowControl/>
              <w:adjustRightInd w:val="0"/>
              <w:snapToGrid w:val="0"/>
              <w:spacing w:after="0" w:line="59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2020年</w:t>
            </w:r>
          </w:p>
        </w:tc>
        <w:tc>
          <w:tcPr>
            <w:tcW w:w="1634" w:type="dxa"/>
            <w:noWrap/>
            <w:vAlign w:val="center"/>
          </w:tcPr>
          <w:p w:rsidR="00CE1A11" w:rsidRDefault="003B6665">
            <w:pPr>
              <w:widowControl/>
              <w:adjustRightInd w:val="0"/>
              <w:snapToGrid w:val="0"/>
              <w:spacing w:after="0" w:line="59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2025年</w:t>
            </w:r>
          </w:p>
        </w:tc>
        <w:tc>
          <w:tcPr>
            <w:tcW w:w="1781" w:type="dxa"/>
            <w:noWrap/>
            <w:vAlign w:val="center"/>
          </w:tcPr>
          <w:p w:rsidR="00CE1A11" w:rsidRDefault="003B6665">
            <w:pPr>
              <w:widowControl/>
              <w:adjustRightInd w:val="0"/>
              <w:snapToGrid w:val="0"/>
              <w:spacing w:after="0" w:line="590" w:lineRule="exact"/>
              <w:jc w:val="center"/>
              <w:rPr>
                <w:rFonts w:ascii="黑体" w:eastAsia="黑体" w:hAnsi="黑体" w:cs="黑体"/>
                <w:color w:val="000000" w:themeColor="text1"/>
                <w:spacing w:val="-15"/>
                <w:sz w:val="28"/>
                <w:szCs w:val="28"/>
              </w:rPr>
            </w:pPr>
            <w:r>
              <w:rPr>
                <w:rFonts w:ascii="黑体" w:eastAsia="黑体" w:hAnsi="黑体" w:cs="黑体" w:hint="eastAsia"/>
                <w:color w:val="000000" w:themeColor="text1"/>
                <w:spacing w:val="-15"/>
                <w:sz w:val="28"/>
                <w:szCs w:val="28"/>
              </w:rPr>
              <w:t>年均增长（%）</w:t>
            </w:r>
          </w:p>
        </w:tc>
      </w:tr>
      <w:tr w:rsidR="00CE1A11">
        <w:trPr>
          <w:jc w:val="center"/>
        </w:trPr>
        <w:tc>
          <w:tcPr>
            <w:tcW w:w="2640"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服务业增加值</w:t>
            </w:r>
          </w:p>
        </w:tc>
        <w:tc>
          <w:tcPr>
            <w:tcW w:w="1200"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亿元</w:t>
            </w:r>
          </w:p>
        </w:tc>
        <w:tc>
          <w:tcPr>
            <w:tcW w:w="1590" w:type="dxa"/>
            <w:noWrap/>
            <w:vAlign w:val="center"/>
          </w:tcPr>
          <w:p w:rsidR="00CE1A11" w:rsidRDefault="003B6665">
            <w:pPr>
              <w:adjustRightIn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3835</w:t>
            </w:r>
          </w:p>
        </w:tc>
        <w:tc>
          <w:tcPr>
            <w:tcW w:w="1634"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w:t>
            </w:r>
          </w:p>
        </w:tc>
        <w:tc>
          <w:tcPr>
            <w:tcW w:w="1781"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7.5</w:t>
            </w:r>
          </w:p>
        </w:tc>
      </w:tr>
      <w:tr w:rsidR="00CE1A11">
        <w:trPr>
          <w:jc w:val="center"/>
        </w:trPr>
        <w:tc>
          <w:tcPr>
            <w:tcW w:w="2640"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社会消费品零售总额</w:t>
            </w:r>
          </w:p>
        </w:tc>
        <w:tc>
          <w:tcPr>
            <w:tcW w:w="1200"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亿元</w:t>
            </w:r>
          </w:p>
        </w:tc>
        <w:tc>
          <w:tcPr>
            <w:tcW w:w="1590" w:type="dxa"/>
            <w:noWrap/>
            <w:vAlign w:val="center"/>
          </w:tcPr>
          <w:p w:rsidR="00CE1A11" w:rsidRDefault="003B6665">
            <w:pPr>
              <w:adjustRightIn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2294</w:t>
            </w:r>
          </w:p>
        </w:tc>
        <w:tc>
          <w:tcPr>
            <w:tcW w:w="1634"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3372</w:t>
            </w:r>
          </w:p>
        </w:tc>
        <w:tc>
          <w:tcPr>
            <w:tcW w:w="1781"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8.0</w:t>
            </w:r>
          </w:p>
        </w:tc>
      </w:tr>
      <w:tr w:rsidR="00CE1A11">
        <w:trPr>
          <w:jc w:val="center"/>
        </w:trPr>
        <w:tc>
          <w:tcPr>
            <w:tcW w:w="2640" w:type="dxa"/>
            <w:noWrap/>
            <w:vAlign w:val="center"/>
          </w:tcPr>
          <w:p w:rsidR="00CE1A11" w:rsidRDefault="003B6665">
            <w:pPr>
              <w:adjustRightIn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lastRenderedPageBreak/>
              <w:t>网络零售额</w:t>
            </w:r>
          </w:p>
        </w:tc>
        <w:tc>
          <w:tcPr>
            <w:tcW w:w="1200" w:type="dxa"/>
            <w:noWrap/>
            <w:vAlign w:val="center"/>
          </w:tcPr>
          <w:p w:rsidR="00CE1A11" w:rsidRDefault="003B6665">
            <w:pPr>
              <w:adjustRightIn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亿元</w:t>
            </w:r>
          </w:p>
        </w:tc>
        <w:tc>
          <w:tcPr>
            <w:tcW w:w="1590" w:type="dxa"/>
            <w:noWrap/>
            <w:vAlign w:val="center"/>
          </w:tcPr>
          <w:p w:rsidR="00CE1A11" w:rsidRDefault="003B6665">
            <w:pPr>
              <w:adjustRightIn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1500</w:t>
            </w:r>
          </w:p>
        </w:tc>
        <w:tc>
          <w:tcPr>
            <w:tcW w:w="1634"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3000</w:t>
            </w:r>
          </w:p>
        </w:tc>
        <w:tc>
          <w:tcPr>
            <w:tcW w:w="1781"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14.9</w:t>
            </w:r>
          </w:p>
        </w:tc>
      </w:tr>
      <w:tr w:rsidR="00CE1A11">
        <w:trPr>
          <w:jc w:val="center"/>
        </w:trPr>
        <w:tc>
          <w:tcPr>
            <w:tcW w:w="2640"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货物进出口</w:t>
            </w:r>
          </w:p>
        </w:tc>
        <w:tc>
          <w:tcPr>
            <w:tcW w:w="1200"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亿元</w:t>
            </w:r>
          </w:p>
        </w:tc>
        <w:tc>
          <w:tcPr>
            <w:tcW w:w="1590"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6916</w:t>
            </w:r>
          </w:p>
        </w:tc>
        <w:tc>
          <w:tcPr>
            <w:tcW w:w="1634"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9300</w:t>
            </w:r>
          </w:p>
        </w:tc>
        <w:tc>
          <w:tcPr>
            <w:tcW w:w="1781" w:type="dxa"/>
            <w:noWrap/>
            <w:vAlign w:val="center"/>
          </w:tcPr>
          <w:p w:rsidR="00CE1A11" w:rsidRDefault="003B6665">
            <w:pPr>
              <w:pStyle w:val="21"/>
              <w:adjustRightInd w:val="0"/>
              <w:spacing w:line="590" w:lineRule="exact"/>
              <w:ind w:left="0" w:firstLineChars="0" w:firstLine="0"/>
              <w:jc w:val="center"/>
              <w:rPr>
                <w:rFonts w:ascii="仿宋_GB2312" w:eastAsia="仿宋_GB2312" w:hAnsi="仿宋_GB2312" w:cs="仿宋_GB2312"/>
                <w:color w:val="000000" w:themeColor="text1"/>
                <w:spacing w:val="-15"/>
                <w:kern w:val="2"/>
                <w:lang w:eastAsia="zh-CN"/>
              </w:rPr>
            </w:pPr>
            <w:r>
              <w:rPr>
                <w:rFonts w:ascii="仿宋_GB2312" w:eastAsia="仿宋_GB2312" w:hAnsi="仿宋_GB2312" w:cs="仿宋_GB2312" w:hint="eastAsia"/>
                <w:color w:val="000000" w:themeColor="text1"/>
                <w:spacing w:val="-15"/>
                <w:kern w:val="2"/>
                <w:lang w:eastAsia="zh-CN"/>
              </w:rPr>
              <w:t>6.1</w:t>
            </w:r>
          </w:p>
        </w:tc>
      </w:tr>
      <w:tr w:rsidR="00CE1A11">
        <w:trPr>
          <w:jc w:val="center"/>
        </w:trPr>
        <w:tc>
          <w:tcPr>
            <w:tcW w:w="2640"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金融业增加值</w:t>
            </w:r>
          </w:p>
        </w:tc>
        <w:tc>
          <w:tcPr>
            <w:tcW w:w="1200"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亿元</w:t>
            </w:r>
          </w:p>
        </w:tc>
        <w:tc>
          <w:tcPr>
            <w:tcW w:w="1590"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784</w:t>
            </w:r>
          </w:p>
        </w:tc>
        <w:tc>
          <w:tcPr>
            <w:tcW w:w="1634"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1000</w:t>
            </w:r>
          </w:p>
        </w:tc>
        <w:tc>
          <w:tcPr>
            <w:tcW w:w="1781"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5.0</w:t>
            </w:r>
          </w:p>
        </w:tc>
      </w:tr>
      <w:tr w:rsidR="00CE1A11">
        <w:trPr>
          <w:jc w:val="center"/>
        </w:trPr>
        <w:tc>
          <w:tcPr>
            <w:tcW w:w="2640"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软件信息服务业收入</w:t>
            </w:r>
          </w:p>
        </w:tc>
        <w:tc>
          <w:tcPr>
            <w:tcW w:w="1200"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亿元</w:t>
            </w:r>
          </w:p>
        </w:tc>
        <w:tc>
          <w:tcPr>
            <w:tcW w:w="1590"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1241</w:t>
            </w:r>
          </w:p>
        </w:tc>
        <w:tc>
          <w:tcPr>
            <w:tcW w:w="1634"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2000</w:t>
            </w:r>
          </w:p>
        </w:tc>
        <w:tc>
          <w:tcPr>
            <w:tcW w:w="1781" w:type="dxa"/>
            <w:noWrap/>
            <w:vAlign w:val="center"/>
          </w:tcPr>
          <w:p w:rsidR="00CE1A11" w:rsidRDefault="003B6665">
            <w:pPr>
              <w:widowControl/>
              <w:adjustRightInd w:val="0"/>
              <w:snapToGrid w:val="0"/>
              <w:spacing w:after="0" w:line="590" w:lineRule="exact"/>
              <w:jc w:val="center"/>
              <w:rPr>
                <w:rFonts w:ascii="仿宋_GB2312" w:eastAsia="仿宋_GB2312" w:hAnsi="仿宋_GB2312" w:cs="仿宋_GB2312"/>
                <w:color w:val="000000" w:themeColor="text1"/>
                <w:spacing w:val="-15"/>
                <w:sz w:val="28"/>
                <w:szCs w:val="28"/>
              </w:rPr>
            </w:pPr>
            <w:r>
              <w:rPr>
                <w:rFonts w:ascii="仿宋_GB2312" w:eastAsia="仿宋_GB2312" w:hAnsi="仿宋_GB2312" w:cs="仿宋_GB2312" w:hint="eastAsia"/>
                <w:color w:val="000000" w:themeColor="text1"/>
                <w:spacing w:val="-15"/>
                <w:sz w:val="28"/>
                <w:szCs w:val="28"/>
              </w:rPr>
              <w:t>10.0</w:t>
            </w:r>
          </w:p>
        </w:tc>
      </w:tr>
    </w:tbl>
    <w:p w:rsidR="00CE1A11" w:rsidRDefault="003B6665" w:rsidP="001519D4">
      <w:pPr>
        <w:pStyle w:val="1"/>
        <w:numPr>
          <w:ilvl w:val="0"/>
          <w:numId w:val="0"/>
        </w:numPr>
        <w:adjustRightInd w:val="0"/>
        <w:snapToGrid w:val="0"/>
        <w:spacing w:beforeLines="50" w:line="590" w:lineRule="exact"/>
        <w:ind w:firstLineChars="200" w:firstLine="640"/>
        <w:jc w:val="both"/>
        <w:rPr>
          <w:rFonts w:hAnsi="黑体" w:cs="黑体" w:hint="default"/>
          <w:color w:val="000000" w:themeColor="text1"/>
        </w:rPr>
      </w:pPr>
      <w:bookmarkStart w:id="47" w:name="_Toc102423768"/>
      <w:bookmarkStart w:id="48" w:name="_Toc1794864582"/>
      <w:bookmarkStart w:id="49" w:name="_Toc614488870"/>
      <w:r>
        <w:rPr>
          <w:rFonts w:hAnsi="黑体" w:cs="黑体"/>
          <w:color w:val="000000" w:themeColor="text1"/>
        </w:rPr>
        <w:t>四、构建特色现代服务业产业体系，提升服务能级</w:t>
      </w:r>
      <w:bookmarkEnd w:id="47"/>
      <w:bookmarkEnd w:id="48"/>
      <w:bookmarkEnd w:id="49"/>
    </w:p>
    <w:p w:rsidR="00CE1A11" w:rsidRDefault="003B6665" w:rsidP="008D767D">
      <w:pPr>
        <w:pStyle w:val="2"/>
        <w:numPr>
          <w:ilvl w:val="0"/>
          <w:numId w:val="0"/>
        </w:numPr>
        <w:adjustRightInd w:val="0"/>
        <w:snapToGrid w:val="0"/>
        <w:spacing w:line="590" w:lineRule="exact"/>
        <w:ind w:firstLineChars="200" w:firstLine="643"/>
        <w:jc w:val="both"/>
        <w:rPr>
          <w:rFonts w:ascii="仿宋_GB2312" w:eastAsia="仿宋_GB2312" w:hAnsi="仿宋_GB2312" w:cs="仿宋_GB2312" w:hint="default"/>
          <w:b/>
          <w:bCs/>
          <w:color w:val="000000" w:themeColor="text1"/>
        </w:rPr>
      </w:pPr>
      <w:bookmarkStart w:id="50" w:name="_Toc32772011"/>
      <w:bookmarkStart w:id="51" w:name="_Toc102423769"/>
      <w:bookmarkStart w:id="52" w:name="_Toc1840370895"/>
      <w:r>
        <w:rPr>
          <w:rFonts w:ascii="楷体_GB2312" w:eastAsia="楷体_GB2312" w:hAnsi="楷体_GB2312" w:cs="楷体_GB2312"/>
          <w:b/>
          <w:bCs/>
          <w:color w:val="000000" w:themeColor="text1"/>
        </w:rPr>
        <w:t>（一）商贸物流</w:t>
      </w:r>
      <w:bookmarkEnd w:id="50"/>
      <w:bookmarkEnd w:id="51"/>
      <w:bookmarkEnd w:id="52"/>
    </w:p>
    <w:p w:rsidR="00CE1A11" w:rsidRDefault="003B6665">
      <w:pPr>
        <w:adjustRightInd w:val="0"/>
        <w:snapToGrid w:val="0"/>
        <w:spacing w:after="0" w:line="590" w:lineRule="exact"/>
        <w:ind w:firstLineChars="200" w:firstLine="640"/>
        <w:rPr>
          <w:rFonts w:ascii="仿宋_GB2312" w:eastAsia="仿宋_GB2312" w:hAnsi="仿宋_GB2312" w:cs="仿宋_GB2312"/>
          <w:b/>
          <w:bCs/>
          <w:color w:val="000000" w:themeColor="text1"/>
          <w:szCs w:val="32"/>
        </w:rPr>
      </w:pPr>
      <w:r>
        <w:rPr>
          <w:rFonts w:ascii="仿宋_GB2312" w:eastAsia="仿宋_GB2312" w:hAnsi="仿宋_GB2312" w:cs="仿宋_GB2312" w:hint="eastAsia"/>
          <w:color w:val="000000" w:themeColor="text1"/>
          <w:szCs w:val="32"/>
        </w:rPr>
        <w:t>到2025年，现代流通体系加快建设，商贸物流设施更加完善，流通网络和服务体系更加健全，现代流通企业一体化发展，商贸物流深度融合，国家物流枢纽功能进一步增强。货物进出口总额达9300亿元，打造贸易自由便利、货物贸易和服务贸易同步发展，具有较强国际资源配置能力的国际贸易中心。会展业总收入突破500亿元，积极打造国际会展名城和国际知名会议目的地。基本建成引领全省、辐射东南亚，具有厦门特色的区域性国际消费中心城市。</w:t>
      </w:r>
    </w:p>
    <w:p w:rsidR="00CE1A11" w:rsidRDefault="003B6665" w:rsidP="001519D4">
      <w:pPr>
        <w:adjustRightInd w:val="0"/>
        <w:spacing w:afterLines="50" w:line="590" w:lineRule="exact"/>
        <w:ind w:firstLineChars="200" w:firstLine="622"/>
        <w:rPr>
          <w:rFonts w:ascii="仿宋_GB2312" w:eastAsia="仿宋_GB2312" w:hAnsi="仿宋_GB2312" w:cs="仿宋_GB2312"/>
          <w:color w:val="000000" w:themeColor="text1"/>
          <w:szCs w:val="32"/>
        </w:rPr>
      </w:pPr>
      <w:r>
        <w:rPr>
          <w:rFonts w:ascii="仿宋_GB2312" w:hint="eastAsia"/>
          <w:b/>
          <w:color w:val="000000" w:themeColor="text1"/>
          <w:sz w:val="31"/>
          <w:szCs w:val="31"/>
        </w:rPr>
        <w:t>1.</w:t>
      </w:r>
      <w:r>
        <w:rPr>
          <w:rFonts w:ascii="仿宋_GB2312" w:hint="eastAsia"/>
          <w:b/>
          <w:color w:val="000000" w:themeColor="text1"/>
          <w:sz w:val="31"/>
          <w:szCs w:val="31"/>
        </w:rPr>
        <w:t>货物贸易。</w:t>
      </w:r>
      <w:r>
        <w:rPr>
          <w:rFonts w:ascii="仿宋_GB2312" w:eastAsia="仿宋_GB2312" w:hAnsi="仿宋_GB2312" w:cs="仿宋_GB2312" w:hint="eastAsia"/>
          <w:color w:val="000000" w:themeColor="text1"/>
          <w:szCs w:val="32"/>
        </w:rPr>
        <w:t>深入创建国家进口贸易</w:t>
      </w:r>
      <w:r w:rsidR="00551312">
        <w:rPr>
          <w:rFonts w:ascii="仿宋_GB2312" w:eastAsia="仿宋_GB2312" w:hAnsi="仿宋_GB2312" w:cs="仿宋_GB2312" w:hint="eastAsia"/>
          <w:color w:val="000000" w:themeColor="text1"/>
          <w:szCs w:val="32"/>
        </w:rPr>
        <w:t>促进</w:t>
      </w:r>
      <w:r>
        <w:rPr>
          <w:rFonts w:ascii="仿宋_GB2312" w:eastAsia="仿宋_GB2312" w:hAnsi="仿宋_GB2312" w:cs="仿宋_GB2312" w:hint="eastAsia"/>
          <w:color w:val="000000" w:themeColor="text1"/>
          <w:szCs w:val="32"/>
        </w:rPr>
        <w:t>创新示范区，用好中国国际进口博览会等平台，拓展进口发展空间。支持企业通过设立境外分支机构、零售网点、售后维修服务网点、海外仓等方式扩大国际营销网络覆盖面，加大对金砖国家及“一带一路”沿线国家和地区的市场开拓力度。优化贸易方式，做强一般贸易，提升加工贸易，加快发展其他贸易方式，鼓励企业加强研发、培育品牌、建设营销渠道。优化商品结构，深化优进优出，稳步提高出口附加值，促进绿色低碳产品进出口，推动传统劳动密集型产业转型升级。</w:t>
      </w:r>
      <w:r>
        <w:rPr>
          <w:rFonts w:ascii="仿宋_GB2312" w:eastAsia="仿宋_GB2312" w:hAnsi="Times New Roman" w:cs="Times New Roman" w:hint="eastAsia"/>
          <w:color w:val="000000" w:themeColor="text1"/>
          <w:szCs w:val="32"/>
        </w:rPr>
        <w:t>结合优势特色产业、产品，做大做强一批地方特</w:t>
      </w:r>
      <w:r>
        <w:rPr>
          <w:rFonts w:ascii="仿宋_GB2312" w:eastAsia="仿宋_GB2312" w:hAnsi="Times New Roman" w:cs="Times New Roman" w:hint="eastAsia"/>
          <w:color w:val="000000" w:themeColor="text1"/>
          <w:szCs w:val="32"/>
        </w:rPr>
        <w:lastRenderedPageBreak/>
        <w:t>色突出的专业性、垂直性电商平台。</w:t>
      </w:r>
    </w:p>
    <w:p w:rsidR="00CE1A11" w:rsidRDefault="003B6665" w:rsidP="001519D4">
      <w:pPr>
        <w:adjustRightInd w:val="0"/>
        <w:snapToGrid w:val="0"/>
        <w:spacing w:beforeLines="50" w:after="0" w:line="590" w:lineRule="exact"/>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t>专栏3：加快跨境电商综试区建设</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2"/>
      </w:tblGrid>
      <w:tr w:rsidR="00CE1A11">
        <w:trPr>
          <w:jc w:val="center"/>
        </w:trPr>
        <w:tc>
          <w:tcPr>
            <w:tcW w:w="8732" w:type="dxa"/>
            <w:noWrap/>
          </w:tcPr>
          <w:p w:rsidR="00CE1A11" w:rsidRDefault="003B6665">
            <w:pPr>
              <w:overflowPunct w:val="0"/>
              <w:adjustRightInd w:val="0"/>
              <w:snapToGrid w:val="0"/>
              <w:spacing w:after="0" w:line="590" w:lineRule="exact"/>
              <w:ind w:firstLineChars="200" w:firstLine="640"/>
              <w:rPr>
                <w:rFonts w:ascii="仿宋_GB2312" w:eastAsia="仿宋_GB2312" w:hAnsi="仿宋_GB2312" w:cs="仿宋_GB2312"/>
                <w:color w:val="000000" w:themeColor="text1"/>
                <w:kern w:val="0"/>
                <w:szCs w:val="32"/>
              </w:rPr>
            </w:pPr>
            <w:r>
              <w:rPr>
                <w:rFonts w:ascii="仿宋_GB2312" w:eastAsia="仿宋_GB2312" w:hAnsi="仿宋_GB2312" w:cs="仿宋_GB2312" w:hint="eastAsia"/>
                <w:color w:val="000000" w:themeColor="text1"/>
                <w:kern w:val="0"/>
                <w:szCs w:val="32"/>
              </w:rPr>
              <w:t>紧抓金砖基地和RCEP建设机遇，立足厦门跨境电商产业基础和地缘优势，积极探索口岸城市跨境电商发展新模式，构建突出对台、对东南亚特色、辐射全国的跨境电商区域中心。</w:t>
            </w:r>
          </w:p>
          <w:p w:rsidR="00CE1A11" w:rsidRDefault="003B6665" w:rsidP="008D767D">
            <w:pPr>
              <w:overflowPunct w:val="0"/>
              <w:adjustRightInd w:val="0"/>
              <w:snapToGrid w:val="0"/>
              <w:spacing w:after="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培育优质跨境电商经营主体。</w:t>
            </w:r>
            <w:r>
              <w:rPr>
                <w:rFonts w:ascii="仿宋_GB2312" w:eastAsia="仿宋_GB2312" w:hAnsi="仿宋_GB2312" w:cs="仿宋_GB2312" w:hint="eastAsia"/>
                <w:color w:val="000000" w:themeColor="text1"/>
                <w:szCs w:val="32"/>
              </w:rPr>
              <w:t>引进跨境电商领域核心优势</w:t>
            </w:r>
            <w:r>
              <w:rPr>
                <w:rFonts w:ascii="仿宋_GB2312" w:eastAsia="仿宋_GB2312" w:hAnsi="仿宋_GB2312" w:cs="仿宋_GB2312" w:hint="eastAsia"/>
                <w:color w:val="000000" w:themeColor="text1"/>
                <w:spacing w:val="-4"/>
                <w:szCs w:val="32"/>
              </w:rPr>
              <w:t>突出、行业影响力大、带动效应明显的龙头平台企业。支持我市跨境电商企业整合资源，打造鞋服、箱包、厨卫、体育及户外用品等我市特色产业垂直细分领域龙头平台。深化与亚马逊、阿里、抖音等头部跨境平台合作，实现外贸产业数字化转型。</w:t>
            </w:r>
          </w:p>
          <w:p w:rsidR="00CE1A11" w:rsidRDefault="003B6665" w:rsidP="008D767D">
            <w:pPr>
              <w:overflowPunct w:val="0"/>
              <w:adjustRightInd w:val="0"/>
              <w:snapToGrid w:val="0"/>
              <w:spacing w:after="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推进跨境电商产业园区建设。</w:t>
            </w:r>
            <w:r>
              <w:rPr>
                <w:rFonts w:ascii="仿宋_GB2312" w:eastAsia="仿宋_GB2312" w:hAnsi="仿宋_GB2312" w:cs="仿宋_GB2312" w:hint="eastAsia"/>
                <w:color w:val="000000" w:themeColor="text1"/>
                <w:szCs w:val="32"/>
              </w:rPr>
              <w:t>支持寨上、机场、东渡、海沧产业聚集区发挥临港、临空优势，集聚要素资源，全面提升产业服务质量。发挥各区优势，结合自身产业发展，合理利用闲置厂房、楼宇等载体，打造以产业链、供应链、科技、金融等为核心的新型跨境电商产业园区。</w:t>
            </w:r>
          </w:p>
          <w:p w:rsidR="00CE1A11" w:rsidRDefault="003B6665" w:rsidP="008D767D">
            <w:pPr>
              <w:overflowPunct w:val="0"/>
              <w:adjustRightInd w:val="0"/>
              <w:snapToGrid w:val="0"/>
              <w:spacing w:after="0" w:line="590" w:lineRule="exact"/>
              <w:ind w:firstLineChars="200" w:firstLine="643"/>
              <w:rPr>
                <w:rFonts w:ascii="仿宋_GB2312"/>
                <w:color w:val="000000" w:themeColor="text1"/>
                <w:sz w:val="28"/>
                <w:szCs w:val="28"/>
              </w:rPr>
            </w:pPr>
            <w:r>
              <w:rPr>
                <w:rFonts w:ascii="仿宋_GB2312" w:eastAsia="仿宋_GB2312" w:hAnsi="仿宋_GB2312" w:cs="仿宋_GB2312" w:hint="eastAsia"/>
                <w:b/>
                <w:bCs/>
                <w:color w:val="000000" w:themeColor="text1"/>
                <w:szCs w:val="32"/>
              </w:rPr>
              <w:t>拓展跨境物流通道。</w:t>
            </w:r>
            <w:r>
              <w:rPr>
                <w:rFonts w:ascii="仿宋_GB2312" w:eastAsia="仿宋_GB2312" w:hAnsi="仿宋_GB2312" w:cs="仿宋_GB2312" w:hint="eastAsia"/>
                <w:color w:val="000000" w:themeColor="text1"/>
                <w:szCs w:val="32"/>
              </w:rPr>
              <w:t>发挥航空货运包机政策优势，紧抓翔安新机场建设契机，支持在厦设立货运航空公司，加大支持全货包机业务，全面提升航空货运能力。支持集货仓和海外仓建设，聚焦对台、对东南亚等重点区域，围绕亚马逊、菜鸟、抖音等跨境平台引入高能级项目建设运营集货仓，鼓励企业扩大海外仓布局。推动海运快船及中欧班列通道建设，推进开通服务于跨境电商的东南亚精品航线，提高中欧班列跨境电商货物出口运力。</w:t>
            </w:r>
          </w:p>
        </w:tc>
      </w:tr>
    </w:tbl>
    <w:p w:rsidR="00CE1A11" w:rsidRDefault="003B6665" w:rsidP="001519D4">
      <w:pPr>
        <w:adjustRightInd w:val="0"/>
        <w:snapToGrid w:val="0"/>
        <w:spacing w:beforeLines="50" w:line="590" w:lineRule="exact"/>
        <w:ind w:firstLineChars="200" w:firstLine="643"/>
        <w:rPr>
          <w:rFonts w:ascii="仿宋_GB2312" w:eastAsia="仿宋_GB2312" w:hAnsi="仿宋_GB2312" w:cs="仿宋_GB2312"/>
          <w:bCs/>
          <w:color w:val="000000" w:themeColor="text1"/>
          <w:szCs w:val="32"/>
        </w:rPr>
      </w:pPr>
      <w:r>
        <w:rPr>
          <w:rFonts w:ascii="仿宋_GB2312" w:eastAsia="仿宋_GB2312" w:hAnsi="仿宋_GB2312" w:cs="仿宋_GB2312" w:hint="eastAsia"/>
          <w:b/>
          <w:bCs/>
          <w:color w:val="000000" w:themeColor="text1"/>
          <w:szCs w:val="32"/>
        </w:rPr>
        <w:lastRenderedPageBreak/>
        <w:t>2.供应链和物流服务。</w:t>
      </w:r>
      <w:r>
        <w:rPr>
          <w:rFonts w:ascii="仿宋_GB2312" w:eastAsia="仿宋_GB2312" w:hAnsi="仿宋_GB2312" w:cs="仿宋_GB2312" w:hint="eastAsia"/>
          <w:color w:val="000000" w:themeColor="text1"/>
          <w:szCs w:val="32"/>
        </w:rPr>
        <w:t>加快建设供应链创新与应用示范城市，建设具有较强竞争力的全国重点产业链供应链资源配置中心、供应链科创中心和供应链金融服务中心。鼓励供应链核心企业建设产业供应链综合服务平台，创新供应链服务模式，培育一批布局全球、具有自主营销能力的新型外贸综合型企业。完善提升“国际贸易单一窗口”等公共服务平台功能，</w:t>
      </w:r>
      <w:r>
        <w:rPr>
          <w:rFonts w:ascii="仿宋_GB2312" w:eastAsia="仿宋_GB2312" w:hAnsi="仿宋_GB2312" w:cs="仿宋_GB2312" w:hint="eastAsia"/>
          <w:bCs/>
          <w:color w:val="000000" w:themeColor="text1"/>
          <w:szCs w:val="32"/>
        </w:rPr>
        <w:t>推进</w:t>
      </w:r>
      <w:r>
        <w:rPr>
          <w:rFonts w:ascii="仿宋_GB2312" w:eastAsia="仿宋_GB2312" w:hAnsi="仿宋_GB2312" w:cs="仿宋_GB2312" w:hint="eastAsia"/>
          <w:color w:val="000000" w:themeColor="text1"/>
          <w:szCs w:val="32"/>
        </w:rPr>
        <w:t>数字化供应链服务平台</w:t>
      </w:r>
      <w:r>
        <w:rPr>
          <w:rFonts w:ascii="仿宋_GB2312" w:eastAsia="仿宋_GB2312" w:hAnsi="仿宋_GB2312" w:cs="仿宋_GB2312" w:hint="eastAsia"/>
          <w:bCs/>
          <w:color w:val="000000" w:themeColor="text1"/>
          <w:szCs w:val="32"/>
        </w:rPr>
        <w:t>建设。</w:t>
      </w:r>
    </w:p>
    <w:p w:rsidR="00CE1A11" w:rsidRDefault="003B6665" w:rsidP="001519D4">
      <w:pPr>
        <w:adjustRightInd w:val="0"/>
        <w:snapToGrid w:val="0"/>
        <w:spacing w:afterLines="50" w:line="59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构建现代化综合运输体系，加快建设国际性物流枢纽城市。以港口、航空枢纽、铁路货场为核心，优化城市物流功能布局。加强航空货运能力建设，打造快捷高效的航空直运、中转、集散等服务。依托海港，拓展内外贸航线，做大内外贸中转。提升高铁货运能力建设。继续推进东渡、海沧、前场、同安、翔安五大物流产业聚集区建设。加快发展冷链物流、城乡配送、智慧物流、绿色物流、应急物流等物流新业态。</w:t>
      </w:r>
    </w:p>
    <w:p w:rsidR="00CE1A11" w:rsidRDefault="003B6665">
      <w:pPr>
        <w:adjustRightInd w:val="0"/>
        <w:snapToGrid w:val="0"/>
        <w:spacing w:after="0" w:line="590" w:lineRule="exact"/>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t>专栏4：推进供应链创新与应用</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8"/>
      </w:tblGrid>
      <w:tr w:rsidR="00CE1A11">
        <w:trPr>
          <w:jc w:val="center"/>
        </w:trPr>
        <w:tc>
          <w:tcPr>
            <w:tcW w:w="8828" w:type="dxa"/>
            <w:noWrap/>
          </w:tcPr>
          <w:p w:rsidR="00CE1A11" w:rsidRDefault="003B6665">
            <w:pPr>
              <w:pStyle w:val="21"/>
              <w:adjustRightInd w:val="0"/>
              <w:spacing w:line="560" w:lineRule="exact"/>
              <w:ind w:left="11"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bCs/>
                <w:color w:val="000000" w:themeColor="text1"/>
                <w:sz w:val="32"/>
                <w:szCs w:val="32"/>
                <w:lang w:eastAsia="zh-CN"/>
              </w:rPr>
              <w:t>扩大试点范围。</w:t>
            </w:r>
            <w:r>
              <w:rPr>
                <w:rFonts w:ascii="仿宋_GB2312" w:eastAsia="仿宋_GB2312" w:hAnsi="仿宋_GB2312" w:cs="仿宋_GB2312" w:hint="eastAsia"/>
                <w:color w:val="000000" w:themeColor="text1"/>
                <w:sz w:val="32"/>
                <w:szCs w:val="32"/>
                <w:lang w:eastAsia="zh-CN"/>
              </w:rPr>
              <w:t>坚持示范推动，梳理一批国家试点以外的优质供应链项目，评选1-2批本地试点企业，复制推广试点经验，积极推荐优质供应链企业评选国家示范企业。</w:t>
            </w:r>
          </w:p>
          <w:p w:rsidR="00CE1A11" w:rsidRDefault="003B6665">
            <w:pPr>
              <w:pStyle w:val="21"/>
              <w:adjustRightInd w:val="0"/>
              <w:spacing w:line="560" w:lineRule="exact"/>
              <w:ind w:left="11"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bCs/>
                <w:color w:val="000000" w:themeColor="text1"/>
                <w:sz w:val="32"/>
                <w:szCs w:val="32"/>
                <w:lang w:eastAsia="zh-CN"/>
              </w:rPr>
              <w:t>完善流通设施。</w:t>
            </w:r>
            <w:r>
              <w:rPr>
                <w:rFonts w:ascii="仿宋_GB2312" w:eastAsia="仿宋_GB2312" w:hAnsi="仿宋_GB2312" w:cs="仿宋_GB2312" w:hint="eastAsia"/>
                <w:color w:val="000000" w:themeColor="text1"/>
                <w:sz w:val="32"/>
                <w:szCs w:val="32"/>
                <w:lang w:eastAsia="zh-CN"/>
              </w:rPr>
              <w:t>加强流通基础设施体系建设，加强要素保障，进一步降低物流成本。加快载体和通道建设，鼓励新技术应用，提升发展质量。</w:t>
            </w:r>
          </w:p>
          <w:p w:rsidR="00CE1A11" w:rsidRDefault="003B6665">
            <w:pPr>
              <w:pStyle w:val="21"/>
              <w:adjustRightInd w:val="0"/>
              <w:spacing w:line="560" w:lineRule="exact"/>
              <w:ind w:left="11"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bCs/>
                <w:color w:val="000000" w:themeColor="text1"/>
                <w:sz w:val="32"/>
                <w:szCs w:val="32"/>
                <w:lang w:eastAsia="zh-CN"/>
              </w:rPr>
              <w:t>提升供应链金融服务质效。</w:t>
            </w:r>
            <w:r>
              <w:rPr>
                <w:rFonts w:ascii="仿宋_GB2312" w:eastAsia="仿宋_GB2312" w:hAnsi="仿宋_GB2312" w:cs="仿宋_GB2312" w:hint="eastAsia"/>
                <w:color w:val="000000" w:themeColor="text1"/>
                <w:sz w:val="32"/>
                <w:szCs w:val="32"/>
                <w:lang w:eastAsia="zh-CN"/>
              </w:rPr>
              <w:t>加快金融创新步伐，优化信贷政策，加强与核心企业合作，提升数字化应用水平，增强保险</w:t>
            </w:r>
            <w:r>
              <w:rPr>
                <w:rFonts w:ascii="仿宋_GB2312" w:eastAsia="仿宋_GB2312" w:hAnsi="仿宋_GB2312" w:cs="仿宋_GB2312" w:hint="eastAsia"/>
                <w:color w:val="000000" w:themeColor="text1"/>
                <w:sz w:val="32"/>
                <w:szCs w:val="32"/>
                <w:lang w:eastAsia="zh-CN"/>
              </w:rPr>
              <w:lastRenderedPageBreak/>
              <w:t>保障功能。</w:t>
            </w:r>
          </w:p>
          <w:p w:rsidR="00CE1A11" w:rsidRDefault="003B6665">
            <w:pPr>
              <w:pStyle w:val="21"/>
              <w:adjustRightInd w:val="0"/>
              <w:spacing w:line="560" w:lineRule="exact"/>
              <w:ind w:left="11" w:firstLine="643"/>
              <w:jc w:val="both"/>
              <w:rPr>
                <w:rFonts w:ascii="仿宋_GB2312" w:eastAsia="仿宋_GB2312" w:hAnsi="仿宋_GB2312" w:cs="仿宋_GB2312"/>
                <w:color w:val="000000" w:themeColor="text1"/>
                <w:sz w:val="32"/>
                <w:szCs w:val="32"/>
                <w:lang w:eastAsia="zh-CN"/>
              </w:rPr>
            </w:pPr>
            <w:r>
              <w:rPr>
                <w:rFonts w:ascii="仿宋_GB2312" w:eastAsia="仿宋_GB2312" w:hAnsi="仿宋_GB2312" w:cs="仿宋_GB2312" w:hint="eastAsia"/>
                <w:b/>
                <w:bCs/>
                <w:color w:val="000000" w:themeColor="text1"/>
                <w:sz w:val="32"/>
                <w:szCs w:val="32"/>
                <w:lang w:eastAsia="zh-CN"/>
              </w:rPr>
              <w:t>积极打造绿色供应链。</w:t>
            </w:r>
            <w:r>
              <w:rPr>
                <w:rFonts w:ascii="仿宋_GB2312" w:eastAsia="仿宋_GB2312" w:hAnsi="仿宋_GB2312" w:cs="仿宋_GB2312" w:hint="eastAsia"/>
                <w:color w:val="000000" w:themeColor="text1"/>
                <w:sz w:val="32"/>
                <w:szCs w:val="32"/>
                <w:lang w:eastAsia="zh-CN"/>
              </w:rPr>
              <w:t>建立制造业绿色供应链管理培育库，引导库内企业按照工信部绿色供应链管理企业标准开展创建工作。推荐企业申报绿色供应链管理名单认定，对获得国家级、省级绿色供应链管理企业予以奖励。建立绿色融资项目认证机制。</w:t>
            </w:r>
          </w:p>
          <w:p w:rsidR="00CE1A11" w:rsidRDefault="003B6665">
            <w:pPr>
              <w:pStyle w:val="21"/>
              <w:adjustRightInd w:val="0"/>
              <w:spacing w:line="560" w:lineRule="exact"/>
              <w:ind w:left="11" w:firstLine="643"/>
              <w:jc w:val="both"/>
              <w:rPr>
                <w:color w:val="000000" w:themeColor="text1"/>
                <w:lang w:eastAsia="zh-CN"/>
              </w:rPr>
            </w:pPr>
            <w:r>
              <w:rPr>
                <w:rFonts w:ascii="仿宋_GB2312" w:eastAsia="仿宋_GB2312" w:hAnsi="仿宋_GB2312" w:cs="仿宋_GB2312" w:hint="eastAsia"/>
                <w:b/>
                <w:bCs/>
                <w:color w:val="000000" w:themeColor="text1"/>
                <w:sz w:val="32"/>
                <w:szCs w:val="32"/>
                <w:lang w:eastAsia="zh-CN"/>
              </w:rPr>
              <w:t>加强标准建设。</w:t>
            </w:r>
            <w:r>
              <w:rPr>
                <w:rFonts w:ascii="仿宋_GB2312" w:eastAsia="仿宋_GB2312" w:hAnsi="仿宋_GB2312" w:cs="仿宋_GB2312" w:hint="eastAsia"/>
                <w:color w:val="000000" w:themeColor="text1"/>
                <w:sz w:val="32"/>
                <w:szCs w:val="32"/>
                <w:lang w:eastAsia="zh-CN"/>
              </w:rPr>
              <w:t>鼓励供应链企业参与国家标准、行业标准制修订工作；鼓励引导相关企业积极开展供应链安全管理体系认证，提高企业质量管理水平。</w:t>
            </w:r>
          </w:p>
        </w:tc>
      </w:tr>
    </w:tbl>
    <w:p w:rsidR="00CE1A11" w:rsidRDefault="003B6665" w:rsidP="001519D4">
      <w:pPr>
        <w:numPr>
          <w:ilvl w:val="255"/>
          <w:numId w:val="0"/>
        </w:numPr>
        <w:adjustRightInd w:val="0"/>
        <w:snapToGrid w:val="0"/>
        <w:spacing w:beforeLines="50" w:afterLines="50" w:line="560" w:lineRule="exact"/>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lastRenderedPageBreak/>
        <w:t>专栏5：国家物流枢纽建设工程</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2"/>
      </w:tblGrid>
      <w:tr w:rsidR="00CE1A11">
        <w:trPr>
          <w:jc w:val="center"/>
        </w:trPr>
        <w:tc>
          <w:tcPr>
            <w:tcW w:w="8732" w:type="dxa"/>
            <w:noWrap/>
          </w:tcPr>
          <w:p w:rsidR="00CE1A11" w:rsidRDefault="003B6665" w:rsidP="008D767D">
            <w:pPr>
              <w:overflowPunct w:val="0"/>
              <w:adjustRightInd w:val="0"/>
              <w:snapToGrid w:val="0"/>
              <w:spacing w:after="0" w:line="560" w:lineRule="exact"/>
              <w:ind w:firstLineChars="200" w:firstLine="643"/>
              <w:rPr>
                <w:rFonts w:ascii="仿宋_GB2312" w:eastAsia="仿宋_GB2312" w:hAnsi="仿宋_GB2312" w:cs="仿宋_GB2312"/>
                <w:color w:val="000000" w:themeColor="text1"/>
                <w:kern w:val="0"/>
                <w:szCs w:val="32"/>
              </w:rPr>
            </w:pPr>
            <w:r>
              <w:rPr>
                <w:rFonts w:ascii="仿宋_GB2312" w:eastAsia="仿宋_GB2312" w:hAnsi="仿宋_GB2312" w:cs="仿宋_GB2312" w:hint="eastAsia"/>
                <w:b/>
                <w:bCs/>
                <w:color w:val="000000" w:themeColor="text1"/>
                <w:kern w:val="0"/>
                <w:szCs w:val="32"/>
              </w:rPr>
              <w:t>建设港口型国家物流枢纽。</w:t>
            </w:r>
            <w:r>
              <w:rPr>
                <w:rFonts w:ascii="仿宋_GB2312" w:eastAsia="仿宋_GB2312" w:hAnsi="仿宋_GB2312" w:cs="仿宋_GB2312" w:hint="eastAsia"/>
                <w:color w:val="000000" w:themeColor="text1"/>
                <w:kern w:val="0"/>
                <w:szCs w:val="32"/>
              </w:rPr>
              <w:t>优化港口功能布局，完善厦门港口基础设施，推进港口资源整合，合理配置港口物流用地，提升港口专业化、集约化、智慧化水平，做大港口规模。加快推进远海码头铁路专用线、前场铁路大型货场、中谷海运综合物流园等项目建设。</w:t>
            </w:r>
          </w:p>
          <w:p w:rsidR="00CE1A11" w:rsidRDefault="003B6665" w:rsidP="008D767D">
            <w:pPr>
              <w:overflowPunct w:val="0"/>
              <w:adjustRightInd w:val="0"/>
              <w:snapToGrid w:val="0"/>
              <w:spacing w:after="0" w:line="560" w:lineRule="exact"/>
              <w:ind w:firstLineChars="200" w:firstLine="643"/>
              <w:rPr>
                <w:rFonts w:ascii="仿宋_GB2312" w:eastAsia="仿宋_GB2312" w:hAnsi="仿宋_GB2312" w:cs="仿宋_GB2312"/>
                <w:color w:val="000000" w:themeColor="text1"/>
                <w:kern w:val="0"/>
                <w:szCs w:val="32"/>
              </w:rPr>
            </w:pPr>
            <w:r>
              <w:rPr>
                <w:rFonts w:ascii="仿宋_GB2312" w:eastAsia="仿宋_GB2312" w:hAnsi="仿宋_GB2312" w:cs="仿宋_GB2312" w:hint="eastAsia"/>
                <w:b/>
                <w:bCs/>
                <w:color w:val="000000" w:themeColor="text1"/>
                <w:kern w:val="0"/>
                <w:szCs w:val="32"/>
              </w:rPr>
              <w:t>建设空港型国家物流枢纽。</w:t>
            </w:r>
            <w:r>
              <w:rPr>
                <w:rFonts w:ascii="仿宋_GB2312" w:eastAsia="仿宋_GB2312" w:hAnsi="仿宋_GB2312" w:cs="仿宋_GB2312" w:hint="eastAsia"/>
                <w:color w:val="000000" w:themeColor="text1"/>
                <w:kern w:val="0"/>
                <w:szCs w:val="32"/>
              </w:rPr>
              <w:t>完善机场功能定位，打造通达全球的航线网络，提升机场综合保障服务能力。巩固和提升航空运输、飞机维修、航空工业等优势，建设厦门新机场航空工业园和全球一站式航空维修基地，打造国家临空经济示范区。</w:t>
            </w:r>
          </w:p>
          <w:p w:rsidR="00CE1A11" w:rsidRDefault="003B6665" w:rsidP="008D767D">
            <w:pPr>
              <w:overflowPunct w:val="0"/>
              <w:adjustRightInd w:val="0"/>
              <w:snapToGrid w:val="0"/>
              <w:spacing w:after="0" w:line="560" w:lineRule="exact"/>
              <w:ind w:firstLineChars="200" w:firstLine="643"/>
              <w:rPr>
                <w:rFonts w:eastAsia="仿宋_GB2312"/>
                <w:color w:val="000000" w:themeColor="text1"/>
              </w:rPr>
            </w:pPr>
            <w:r>
              <w:rPr>
                <w:rFonts w:ascii="仿宋_GB2312" w:eastAsia="仿宋_GB2312" w:hAnsi="仿宋_GB2312" w:cs="仿宋_GB2312" w:hint="eastAsia"/>
                <w:b/>
                <w:bCs/>
                <w:color w:val="000000" w:themeColor="text1"/>
                <w:kern w:val="0"/>
                <w:szCs w:val="32"/>
              </w:rPr>
              <w:t>建设商贸型国家物流枢纽。</w:t>
            </w:r>
            <w:r>
              <w:rPr>
                <w:rFonts w:ascii="仿宋_GB2312" w:eastAsia="仿宋_GB2312" w:hAnsi="仿宋_GB2312" w:cs="仿宋_GB2312" w:hint="eastAsia"/>
                <w:color w:val="000000" w:themeColor="text1"/>
                <w:kern w:val="0"/>
                <w:szCs w:val="32"/>
              </w:rPr>
              <w:t>加快打造商贸集聚区，建设大型专业市场，积极开展商品市场优化升级专项行动。推进跨境电商综试区建设，积极培育国家骨干冷链物流基地，布局建设一批物流仓储配送中心，持续提升为商贸活动和城市消费需求提供商品仓储、干支联运、分拨配送等物流服务的能力。</w:t>
            </w:r>
          </w:p>
        </w:tc>
      </w:tr>
    </w:tbl>
    <w:p w:rsidR="00CE1A11" w:rsidRDefault="003B6665" w:rsidP="001519D4">
      <w:pPr>
        <w:adjustRightInd w:val="0"/>
        <w:snapToGrid w:val="0"/>
        <w:spacing w:beforeLines="50" w:after="0" w:line="590" w:lineRule="exact"/>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lastRenderedPageBreak/>
        <w:t>专栏6：提升发展丝路海运</w:t>
      </w:r>
    </w:p>
    <w:tbl>
      <w:tblPr>
        <w:tblStyle w:val="af1"/>
        <w:tblW w:w="8732" w:type="dxa"/>
        <w:jc w:val="center"/>
        <w:tblLayout w:type="fixed"/>
        <w:tblLook w:val="04A0"/>
      </w:tblPr>
      <w:tblGrid>
        <w:gridCol w:w="8732"/>
      </w:tblGrid>
      <w:tr w:rsidR="00CE1A11">
        <w:trPr>
          <w:jc w:val="center"/>
        </w:trPr>
        <w:tc>
          <w:tcPr>
            <w:tcW w:w="8732" w:type="dxa"/>
          </w:tcPr>
          <w:p w:rsidR="00CE1A11" w:rsidRDefault="003B6665" w:rsidP="008D767D">
            <w:pPr>
              <w:adjustRightInd w:val="0"/>
              <w:spacing w:after="0" w:line="590" w:lineRule="exact"/>
              <w:ind w:firstLineChars="200" w:firstLine="643"/>
              <w:rPr>
                <w:rFonts w:ascii="仿宋_GB2312" w:eastAsia="仿宋_GB2312" w:hAnsi="仿宋_GB2312" w:cs="仿宋_GB2312"/>
                <w:b/>
                <w:bCs/>
                <w:color w:val="000000" w:themeColor="text1"/>
                <w:szCs w:val="32"/>
              </w:rPr>
            </w:pPr>
            <w:r>
              <w:rPr>
                <w:rFonts w:ascii="仿宋_GB2312" w:eastAsia="仿宋_GB2312" w:hAnsi="仿宋_GB2312" w:cs="仿宋_GB2312" w:hint="eastAsia"/>
                <w:b/>
                <w:bCs/>
                <w:color w:val="000000" w:themeColor="text1"/>
                <w:kern w:val="0"/>
                <w:szCs w:val="32"/>
              </w:rPr>
              <w:t>打造“丝路海运”品牌。</w:t>
            </w:r>
            <w:r>
              <w:rPr>
                <w:rFonts w:ascii="仿宋_GB2312" w:eastAsia="仿宋_GB2312" w:hAnsi="仿宋_GB2312" w:cs="仿宋_GB2312" w:hint="eastAsia"/>
                <w:color w:val="000000" w:themeColor="text1"/>
                <w:kern w:val="0"/>
                <w:szCs w:val="32"/>
              </w:rPr>
              <w:t>加强与国内外先进港航企业合作，扩大“丝路海运”航线覆盖范围；扩大“丝路海运”联盟规模及影响力，打造成员结构多元化、合作通道便利化的联盟组织；打造一体化的“丝路海运”大数据信息平台，完善“丝路海运”现代综合物流服务标准体系，实现与“海丝”沿线国家的标准互通、资质互认和信息互联。力争到2025年，“丝路海运”航线基本覆盖我国沿海和“一带一路”沿线国家主要港口，各项服务标准体系建设基本成熟并向沿线国家港口逐步推广，初步成为具有国际竞争力和良好商誉度的海运知名品牌，进一步提升“丝路海运”国际合作论坛品牌国际影响力。</w:t>
            </w:r>
          </w:p>
        </w:tc>
      </w:tr>
    </w:tbl>
    <w:p w:rsidR="00CE1A11" w:rsidRDefault="003B6665" w:rsidP="001519D4">
      <w:pPr>
        <w:adjustRightInd w:val="0"/>
        <w:snapToGrid w:val="0"/>
        <w:spacing w:beforeLines="50" w:afterLines="5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3.服务贸易。</w:t>
      </w:r>
      <w:r>
        <w:rPr>
          <w:rFonts w:ascii="仿宋_GB2312" w:eastAsia="仿宋_GB2312" w:hAnsi="仿宋_GB2312" w:cs="仿宋_GB2312" w:hint="eastAsia"/>
          <w:color w:val="000000" w:themeColor="text1"/>
          <w:szCs w:val="32"/>
        </w:rPr>
        <w:t>全面深化服务贸易创新发展试点，重点发展航空维修、旅游服务、运输服务、融资租赁等领域，培育壮大一批主业突出、竞争力强的服务贸易龙头企业。建设服务外包示范城市，大力发展离岸服务外包业务，培育在岸服务外包市场，积极建设服务外包公共技术、信息服务、交易促进、知识产权等平台。提升服务贸易产业促进平台，依托软件园国家数字服务出口基地，大力发展软件信息、动漫游戏等数字服务出口，打造国家数字出口基地；依托厦门自贸片区国家文化出口基地，大力发展数字出版、数字影视、网游动漫、影视演艺、创意设计等重点产业，积极推进文化产品和服务“走出去”。深化与国家服务贸易创新发展引导基金合作，探索设立厦门市服务贸易产业基金，培育一批技术先进型服务企业，</w:t>
      </w:r>
      <w:r>
        <w:rPr>
          <w:rFonts w:ascii="仿宋_GB2312" w:hAnsi="仿宋_GB2312" w:cs="仿宋_GB2312" w:hint="eastAsia"/>
          <w:color w:val="000000" w:themeColor="text1"/>
          <w:szCs w:val="32"/>
        </w:rPr>
        <w:t>建设服务贸易国际合作产业园</w:t>
      </w:r>
      <w:r>
        <w:rPr>
          <w:rFonts w:ascii="仿宋_GB2312" w:eastAsia="仿宋_GB2312" w:hAnsi="仿宋_GB2312" w:cs="仿宋_GB2312" w:hint="eastAsia"/>
          <w:color w:val="000000" w:themeColor="text1"/>
          <w:szCs w:val="32"/>
        </w:rPr>
        <w:t>，在保税</w:t>
      </w:r>
      <w:r>
        <w:rPr>
          <w:rFonts w:ascii="仿宋_GB2312" w:eastAsia="仿宋_GB2312" w:hAnsi="仿宋_GB2312" w:cs="仿宋_GB2312" w:hint="eastAsia"/>
          <w:color w:val="000000" w:themeColor="text1"/>
          <w:szCs w:val="32"/>
        </w:rPr>
        <w:lastRenderedPageBreak/>
        <w:t>维</w:t>
      </w:r>
      <w:r>
        <w:rPr>
          <w:rFonts w:ascii="仿宋_GB2312" w:eastAsia="仿宋_GB2312" w:hAnsi="Times New Roman" w:cs="Times New Roman" w:hint="eastAsia"/>
          <w:color w:val="000000" w:themeColor="text1"/>
          <w:szCs w:val="32"/>
        </w:rPr>
        <w:t>修、数字</w:t>
      </w:r>
      <w:r>
        <w:rPr>
          <w:rFonts w:ascii="仿宋_GB2312" w:eastAsia="仿宋_GB2312" w:hAnsi="仿宋_GB2312" w:cs="仿宋_GB2312" w:hint="eastAsia"/>
          <w:color w:val="000000" w:themeColor="text1"/>
          <w:szCs w:val="32"/>
        </w:rPr>
        <w:t>服务等领域加快探索制度创新。</w:t>
      </w:r>
    </w:p>
    <w:p w:rsidR="00CE1A11" w:rsidRDefault="003B6665">
      <w:pPr>
        <w:adjustRightInd w:val="0"/>
        <w:snapToGrid w:val="0"/>
        <w:spacing w:after="0" w:line="590" w:lineRule="exact"/>
        <w:jc w:val="center"/>
        <w:rPr>
          <w:rFonts w:ascii="楷体" w:eastAsia="楷体" w:hAnsi="楷体" w:cs="楷体"/>
          <w:b/>
          <w:bCs/>
          <w:color w:val="000000" w:themeColor="text1"/>
          <w:spacing w:val="-1"/>
          <w:szCs w:val="32"/>
        </w:rPr>
      </w:pPr>
      <w:bookmarkStart w:id="53" w:name="_Toc149081485_WPSOffice_Level2"/>
      <w:bookmarkStart w:id="54" w:name="_Toc1175526915_WPSOffice_Level2"/>
      <w:bookmarkStart w:id="55" w:name="_Toc1899496231_WPSOffice_Level2"/>
      <w:bookmarkStart w:id="56" w:name="_Toc208362723_WPSOffice_Level2"/>
      <w:bookmarkStart w:id="57" w:name="_Toc2080940582_WPSOffice_Level2"/>
      <w:r>
        <w:rPr>
          <w:rFonts w:ascii="楷体_GB2312" w:eastAsia="楷体_GB2312" w:hAnsi="楷体_GB2312" w:cs="楷体_GB2312" w:hint="eastAsia"/>
          <w:b/>
          <w:bCs/>
          <w:color w:val="000000" w:themeColor="text1"/>
          <w:szCs w:val="32"/>
        </w:rPr>
        <w:t>专栏7：深化服务贸易创新发展试点</w:t>
      </w:r>
      <w:bookmarkEnd w:id="53"/>
      <w:bookmarkEnd w:id="54"/>
      <w:bookmarkEnd w:id="55"/>
      <w:bookmarkEnd w:id="56"/>
      <w:bookmarkEnd w:id="57"/>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0"/>
      </w:tblGrid>
      <w:tr w:rsidR="00CE1A11">
        <w:trPr>
          <w:jc w:val="center"/>
        </w:trPr>
        <w:tc>
          <w:tcPr>
            <w:tcW w:w="9060" w:type="dxa"/>
            <w:noWrap/>
          </w:tcPr>
          <w:p w:rsidR="00CE1A11" w:rsidRDefault="003B6665">
            <w:pPr>
              <w:widowControl/>
              <w:adjustRightInd w:val="0"/>
              <w:spacing w:after="0" w:line="59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深入探索服务贸易创新发展体制机制，巩固优化传统服务贸易，发展壮大特色服务贸易，培育引导新兴服务贸易，拓展提升其它服务贸易，全面打造“厦门服务”品牌。</w:t>
            </w:r>
          </w:p>
          <w:p w:rsidR="00CE1A11" w:rsidRDefault="003B6665" w:rsidP="008D767D">
            <w:pPr>
              <w:widowControl/>
              <w:adjustRightInd w:val="0"/>
              <w:spacing w:after="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提升便利水平。</w:t>
            </w:r>
            <w:r>
              <w:rPr>
                <w:rFonts w:ascii="仿宋_GB2312" w:eastAsia="仿宋_GB2312" w:hAnsi="仿宋_GB2312" w:cs="仿宋_GB2312" w:hint="eastAsia"/>
                <w:color w:val="000000" w:themeColor="text1"/>
                <w:szCs w:val="32"/>
              </w:rPr>
              <w:t>持续推进服务贸易支付便利化、投资便利化、技术流动便利化、跨境人才流动便利化、通关便利化，为服务贸易创新发展营造一流营商环境。</w:t>
            </w:r>
          </w:p>
          <w:p w:rsidR="00CE1A11" w:rsidRDefault="003B6665" w:rsidP="008D767D">
            <w:pPr>
              <w:widowControl/>
              <w:adjustRightInd w:val="0"/>
              <w:spacing w:after="0" w:line="590" w:lineRule="exact"/>
              <w:ind w:firstLineChars="200" w:firstLine="643"/>
              <w:rPr>
                <w:rStyle w:val="af"/>
                <w:rFonts w:ascii="仿宋_GB2312" w:eastAsia="仿宋_GB2312" w:hAnsi="仿宋_GB2312" w:cs="仿宋_GB2312"/>
                <w:color w:val="000000" w:themeColor="text1"/>
                <w:sz w:val="32"/>
                <w:szCs w:val="32"/>
              </w:rPr>
            </w:pPr>
            <w:r>
              <w:rPr>
                <w:rFonts w:ascii="仿宋_GB2312" w:eastAsia="仿宋_GB2312" w:hAnsi="仿宋_GB2312" w:cs="仿宋_GB2312" w:hint="eastAsia"/>
                <w:b/>
                <w:bCs/>
                <w:color w:val="000000" w:themeColor="text1"/>
                <w:szCs w:val="32"/>
              </w:rPr>
              <w:t>扩大对外开放。</w:t>
            </w:r>
            <w:r>
              <w:rPr>
                <w:rFonts w:ascii="仿宋_GB2312" w:eastAsia="仿宋_GB2312" w:hAnsi="仿宋_GB2312" w:cs="仿宋_GB2312" w:hint="eastAsia"/>
                <w:color w:val="000000" w:themeColor="text1"/>
                <w:szCs w:val="32"/>
              </w:rPr>
              <w:t>探索放宽服务业市场准入，支持企业建立国际（离岸）外包接包中心和研发中心、建设更多海外科技创新平台，探索海外离岸创新基地，推进知识产权服务业聚集，深化两岸服务贸易领域合作。</w:t>
            </w:r>
          </w:p>
          <w:p w:rsidR="00CE1A11" w:rsidRDefault="003B6665" w:rsidP="008D767D">
            <w:pPr>
              <w:widowControl/>
              <w:adjustRightInd w:val="0"/>
              <w:spacing w:after="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创新发展模式。</w:t>
            </w:r>
            <w:r>
              <w:rPr>
                <w:rFonts w:ascii="仿宋_GB2312" w:eastAsia="仿宋_GB2312" w:hAnsi="仿宋_GB2312" w:cs="仿宋_GB2312" w:hint="eastAsia"/>
                <w:color w:val="000000" w:themeColor="text1"/>
                <w:szCs w:val="32"/>
              </w:rPr>
              <w:t>更高水平推进国家文化出口基地建设。大力发展数字贸易，打造国家数字服务出口基地。积极发展新兴服务贸易，加快布局“大数据+”“互联网+”等产业方向。积极推动制造业服务外包，推动传统服务贸易领域转型。</w:t>
            </w:r>
          </w:p>
          <w:p w:rsidR="00CE1A11" w:rsidRDefault="003B6665" w:rsidP="008D767D">
            <w:pPr>
              <w:adjustRightInd w:val="0"/>
              <w:spacing w:after="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优化政策体系。</w:t>
            </w:r>
            <w:r>
              <w:rPr>
                <w:rFonts w:ascii="仿宋_GB2312" w:eastAsia="仿宋_GB2312" w:hAnsi="仿宋_GB2312" w:cs="仿宋_GB2312" w:hint="eastAsia"/>
                <w:color w:val="000000" w:themeColor="text1"/>
                <w:szCs w:val="32"/>
              </w:rPr>
              <w:t>发挥财政资金引导作用，充分利用厦门海丝投资基金促进服务贸易高质量发展，加强信用保险对服务贸易出口的支持保障，创新服务贸易科技企业投融资机制。</w:t>
            </w:r>
          </w:p>
          <w:p w:rsidR="00CE1A11" w:rsidRDefault="003B6665" w:rsidP="008D767D">
            <w:pPr>
              <w:adjustRightInd w:val="0"/>
              <w:spacing w:after="0" w:line="590" w:lineRule="exact"/>
              <w:ind w:firstLineChars="200" w:firstLine="643"/>
              <w:jc w:val="left"/>
              <w:rPr>
                <w:rFonts w:ascii="仿宋_GB2312" w:cs="仿宋"/>
                <w:bCs/>
                <w:color w:val="000000" w:themeColor="text1"/>
                <w:sz w:val="28"/>
                <w:szCs w:val="28"/>
                <w:shd w:val="clear" w:color="080000" w:fill="FFFFFF"/>
              </w:rPr>
            </w:pPr>
            <w:r>
              <w:rPr>
                <w:rFonts w:ascii="仿宋_GB2312" w:eastAsia="仿宋_GB2312" w:hAnsi="仿宋_GB2312" w:cs="仿宋_GB2312" w:hint="eastAsia"/>
                <w:b/>
                <w:bCs/>
                <w:color w:val="000000" w:themeColor="text1"/>
                <w:szCs w:val="32"/>
              </w:rPr>
              <w:t>健全统计体系。</w:t>
            </w:r>
            <w:r>
              <w:rPr>
                <w:rFonts w:ascii="仿宋_GB2312" w:eastAsia="仿宋_GB2312" w:hAnsi="仿宋_GB2312" w:cs="仿宋_GB2312" w:hint="eastAsia"/>
                <w:color w:val="000000" w:themeColor="text1"/>
                <w:szCs w:val="32"/>
              </w:rPr>
              <w:t>完善服务贸易统计监测体系，加强服务贸易创新发展统计分析、政策研究与信息服务。</w:t>
            </w:r>
          </w:p>
        </w:tc>
      </w:tr>
    </w:tbl>
    <w:p w:rsidR="00CE1A11" w:rsidRDefault="003B6665" w:rsidP="001519D4">
      <w:pPr>
        <w:pStyle w:val="a6"/>
        <w:adjustRightInd w:val="0"/>
        <w:spacing w:beforeLines="50" w:line="590" w:lineRule="exact"/>
        <w:ind w:left="0" w:firstLineChars="200" w:firstLine="643"/>
        <w:rPr>
          <w:rFonts w:ascii="仿宋_GB2312" w:eastAsia="仿宋_GB2312" w:hAnsi="仿宋_GB2312" w:cs="仿宋_GB2312"/>
          <w:color w:val="000000" w:themeColor="text1"/>
          <w:kern w:val="2"/>
          <w:sz w:val="32"/>
          <w:szCs w:val="32"/>
          <w:lang w:eastAsia="zh-CN"/>
        </w:rPr>
      </w:pPr>
      <w:r>
        <w:rPr>
          <w:rFonts w:ascii="仿宋_GB2312" w:eastAsia="仿宋_GB2312" w:hAnsi="仿宋_GB2312" w:cs="仿宋_GB2312" w:hint="eastAsia"/>
          <w:b/>
          <w:bCs/>
          <w:color w:val="000000" w:themeColor="text1"/>
          <w:kern w:val="2"/>
          <w:sz w:val="32"/>
          <w:szCs w:val="32"/>
          <w:lang w:eastAsia="zh-CN"/>
        </w:rPr>
        <w:t>4.会议展览。</w:t>
      </w:r>
      <w:r>
        <w:rPr>
          <w:rFonts w:ascii="仿宋_GB2312" w:eastAsia="仿宋_GB2312" w:hAnsi="仿宋_GB2312" w:cs="仿宋_GB2312" w:hint="eastAsia"/>
          <w:color w:val="000000" w:themeColor="text1"/>
          <w:kern w:val="2"/>
          <w:sz w:val="32"/>
          <w:szCs w:val="32"/>
          <w:lang w:eastAsia="zh-CN"/>
        </w:rPr>
        <w:t>高标准建设国际会展名城，推动会展业国际化、品牌化、专业化和市场化发展。精耕细作“9·8”投洽会，努力</w:t>
      </w:r>
      <w:r>
        <w:rPr>
          <w:rFonts w:ascii="仿宋_GB2312" w:eastAsia="仿宋_GB2312" w:hAnsi="仿宋_GB2312" w:cs="仿宋_GB2312" w:hint="eastAsia"/>
          <w:color w:val="000000" w:themeColor="text1"/>
          <w:kern w:val="2"/>
          <w:sz w:val="32"/>
          <w:szCs w:val="32"/>
          <w:lang w:eastAsia="zh-CN"/>
        </w:rPr>
        <w:lastRenderedPageBreak/>
        <w:t>办成新一轮高水平对外开放的重要平台。积极加入全球展览业协会（UFI），提升中国（厦门）国际石材展等展览品牌化水平，推动现有综合性展会向专业展会转型升级，努力打造一批具有行业引领力的专业展会平台，努力成为新会展产品策源地。进一步拓展空间载体，推进新会展中心等集聚区建设。</w:t>
      </w:r>
    </w:p>
    <w:p w:rsidR="00CE1A11" w:rsidRDefault="003B6665" w:rsidP="001519D4">
      <w:pPr>
        <w:adjustRightInd w:val="0"/>
        <w:snapToGrid w:val="0"/>
        <w:spacing w:afterLines="50" w:line="590" w:lineRule="exact"/>
        <w:ind w:firstLineChars="200" w:firstLine="643"/>
        <w:rPr>
          <w:rFonts w:ascii="仿宋_GB2312" w:eastAsia="仿宋_GB2312" w:hAnsi="仿宋_GB2312" w:cs="仿宋_GB2312"/>
          <w:color w:val="000000" w:themeColor="text1"/>
          <w:kern w:val="0"/>
          <w:szCs w:val="32"/>
        </w:rPr>
      </w:pPr>
      <w:r>
        <w:rPr>
          <w:rFonts w:ascii="仿宋_GB2312" w:eastAsia="仿宋_GB2312" w:hAnsi="仿宋_GB2312" w:cs="仿宋_GB2312" w:hint="eastAsia"/>
          <w:b/>
          <w:bCs/>
          <w:color w:val="000000" w:themeColor="text1"/>
          <w:szCs w:val="32"/>
        </w:rPr>
        <w:t>5.商务咨询。</w:t>
      </w:r>
      <w:r>
        <w:rPr>
          <w:rFonts w:ascii="仿宋_GB2312" w:eastAsia="仿宋_GB2312" w:hAnsi="仿宋_GB2312" w:cs="仿宋_GB2312" w:hint="eastAsia"/>
          <w:color w:val="000000" w:themeColor="text1"/>
          <w:szCs w:val="32"/>
        </w:rPr>
        <w:t>大力发展会计审计、法律服务、总部管理、公证仲裁、人力资源、营销策划、信用评级等商务咨询服务，培育引进一批专业服务业法人机构。培育壮大一批具有国际竞争力和公信力的品牌商务咨询服务企业，提升本土企业商务服务专业化、规模化、集聚化发展水平，加快高层次人才引进与培养，积极构建与国际接轨的商务服务体系。</w:t>
      </w:r>
      <w:r>
        <w:rPr>
          <w:rFonts w:ascii="仿宋_GB2312" w:eastAsia="仿宋_GB2312" w:hAnsi="仿宋_GB2312" w:cs="仿宋_GB2312" w:hint="eastAsia"/>
          <w:color w:val="000000" w:themeColor="text1"/>
          <w:kern w:val="0"/>
          <w:szCs w:val="32"/>
        </w:rPr>
        <w:t>加快打造</w:t>
      </w:r>
      <w:r>
        <w:rPr>
          <w:rFonts w:ascii="仿宋_GB2312" w:eastAsia="仿宋_GB2312" w:hAnsi="仿宋_GB2312" w:cs="仿宋_GB2312" w:hint="eastAsia"/>
          <w:color w:val="000000" w:themeColor="text1"/>
          <w:szCs w:val="32"/>
        </w:rPr>
        <w:t>具有国际影响力的海丝中央法务区。提升国际商品和服务贸易专业服务质量。</w:t>
      </w:r>
      <w:r>
        <w:rPr>
          <w:rFonts w:ascii="仿宋_GB2312" w:eastAsia="仿宋_GB2312" w:hAnsi="仿宋_GB2312" w:cs="仿宋_GB2312" w:hint="eastAsia"/>
          <w:color w:val="000000" w:themeColor="text1"/>
          <w:kern w:val="0"/>
          <w:szCs w:val="32"/>
        </w:rPr>
        <w:t>鼓励厦门会计师事务所提升审计、咨询业务的国际覆盖能力和水平，为“走出去”企业提供境外投融资、跨境税务筹划、海外工程造价和跨国整合咨询等服务。</w:t>
      </w:r>
    </w:p>
    <w:p w:rsidR="00CE1A11" w:rsidRDefault="003B6665">
      <w:pPr>
        <w:adjustRightInd w:val="0"/>
        <w:snapToGrid w:val="0"/>
        <w:spacing w:after="0" w:line="590" w:lineRule="exact"/>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t>专栏8：建设海丝中央法务区</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0"/>
      </w:tblGrid>
      <w:tr w:rsidR="00CE1A11">
        <w:trPr>
          <w:jc w:val="center"/>
        </w:trPr>
        <w:tc>
          <w:tcPr>
            <w:tcW w:w="8790" w:type="dxa"/>
            <w:tcBorders>
              <w:top w:val="single" w:sz="4" w:space="0" w:color="auto"/>
              <w:left w:val="single" w:sz="4" w:space="0" w:color="auto"/>
              <w:bottom w:val="single" w:sz="4" w:space="0" w:color="auto"/>
              <w:right w:val="single" w:sz="4" w:space="0" w:color="auto"/>
            </w:tcBorders>
            <w:noWrap/>
          </w:tcPr>
          <w:p w:rsidR="00CE1A11" w:rsidRDefault="003B6665">
            <w:pPr>
              <w:pStyle w:val="15"/>
              <w:adjustRightInd w:val="0"/>
              <w:snapToGrid w:val="0"/>
              <w:spacing w:after="0" w:line="590" w:lineRule="exact"/>
              <w:ind w:firstLine="643"/>
              <w:rPr>
                <w:rFonts w:ascii="仿宋_GB2312" w:cs="仿宋"/>
                <w:b/>
                <w:bCs/>
                <w:snapToGrid w:val="0"/>
                <w:color w:val="000000" w:themeColor="text1"/>
                <w:kern w:val="0"/>
                <w:szCs w:val="32"/>
              </w:rPr>
            </w:pPr>
            <w:r>
              <w:rPr>
                <w:rFonts w:ascii="仿宋_GB2312" w:cs="仿宋" w:hint="eastAsia"/>
                <w:b/>
                <w:bCs/>
                <w:snapToGrid w:val="0"/>
                <w:color w:val="000000" w:themeColor="text1"/>
                <w:kern w:val="0"/>
                <w:szCs w:val="32"/>
              </w:rPr>
              <w:t>集聚法务机构。</w:t>
            </w:r>
            <w:r>
              <w:rPr>
                <w:rFonts w:ascii="仿宋_GB2312" w:cs="仿宋" w:hint="eastAsia"/>
                <w:snapToGrid w:val="0"/>
                <w:color w:val="000000" w:themeColor="text1"/>
                <w:kern w:val="0"/>
                <w:szCs w:val="32"/>
              </w:rPr>
              <w:t>推动设立中国（厦门）知识产权保护中心，提升我市知识产权保护工作知名度。推动设立海丝国际商事法庭，集聚各类法务资源，打造国际商事纠纷多元解决平台、国际商事司法一站通办平台、法务资源一站聚集的国际商事法务创新发展平台。在厦门海事法院设立专门审理涉外海事案件的机构，探索建立一站式国际海事海商纠纷处理机制，为中外当事人提供便捷高效、智能精准的海事司法服务。推动设立海丝</w:t>
            </w:r>
            <w:r>
              <w:rPr>
                <w:rFonts w:ascii="仿宋_GB2312" w:cs="仿宋" w:hint="eastAsia"/>
                <w:snapToGrid w:val="0"/>
                <w:color w:val="000000" w:themeColor="text1"/>
                <w:kern w:val="0"/>
                <w:szCs w:val="32"/>
              </w:rPr>
              <w:lastRenderedPageBreak/>
              <w:t>中央法务区公共法律服务中心，重点建设涉外、金融、知识产权、海商事等高端法律服务窗口。建立高端高效的仲裁平台和专业化国际化的调解平台。推动厦门仲裁委纳入“一站式”国际商事纠纷多元化解决机制的国际商事仲裁机构，建立诉讼与调解、仲裁有机衔接的“一站式”国际商事纠纷多元化解决机制。</w:t>
            </w:r>
          </w:p>
          <w:p w:rsidR="00CE1A11" w:rsidRDefault="003B6665">
            <w:pPr>
              <w:pStyle w:val="15"/>
              <w:adjustRightInd w:val="0"/>
              <w:snapToGrid w:val="0"/>
              <w:spacing w:after="0" w:line="590" w:lineRule="exact"/>
              <w:ind w:firstLine="643"/>
              <w:rPr>
                <w:rFonts w:ascii="仿宋_GB2312" w:cs="仿宋"/>
                <w:snapToGrid w:val="0"/>
                <w:color w:val="000000" w:themeColor="text1"/>
                <w:kern w:val="0"/>
                <w:szCs w:val="32"/>
              </w:rPr>
            </w:pPr>
            <w:r>
              <w:rPr>
                <w:rFonts w:ascii="仿宋_GB2312" w:cs="仿宋" w:hint="eastAsia"/>
                <w:b/>
                <w:bCs/>
                <w:snapToGrid w:val="0"/>
                <w:color w:val="000000" w:themeColor="text1"/>
                <w:kern w:val="0"/>
                <w:szCs w:val="32"/>
              </w:rPr>
              <w:t>提升法务服务能级。</w:t>
            </w:r>
            <w:r>
              <w:rPr>
                <w:rFonts w:ascii="仿宋_GB2312" w:cs="仿宋" w:hint="eastAsia"/>
                <w:snapToGrid w:val="0"/>
                <w:color w:val="000000" w:themeColor="text1"/>
                <w:kern w:val="0"/>
                <w:szCs w:val="32"/>
              </w:rPr>
              <w:t>着力发展引进一批高能级的律师、公证、鉴定等法务核心产业，加速优质要素汇集、加快核心产业升级。支持知识产权、税收税务、会计财务等泛法务产业加快发展，吸引国内外知名机构、重点企业落地运营。着力发展以区块链、电子存证、大数据、人工智能为核心的法律科技产业，提高智能化法律服务水平。</w:t>
            </w:r>
          </w:p>
          <w:p w:rsidR="00CE1A11" w:rsidRDefault="003B6665">
            <w:pPr>
              <w:pStyle w:val="15"/>
              <w:adjustRightInd w:val="0"/>
              <w:snapToGrid w:val="0"/>
              <w:spacing w:after="0" w:line="590" w:lineRule="exact"/>
              <w:ind w:firstLine="643"/>
              <w:rPr>
                <w:rFonts w:ascii="仿宋_GB2312" w:cs="仿宋"/>
                <w:snapToGrid w:val="0"/>
                <w:color w:val="000000" w:themeColor="text1"/>
                <w:kern w:val="0"/>
              </w:rPr>
            </w:pPr>
            <w:r>
              <w:rPr>
                <w:rFonts w:ascii="仿宋_GB2312" w:cs="仿宋" w:hint="eastAsia"/>
                <w:b/>
                <w:bCs/>
                <w:snapToGrid w:val="0"/>
                <w:color w:val="000000" w:themeColor="text1"/>
                <w:kern w:val="0"/>
                <w:szCs w:val="32"/>
              </w:rPr>
              <w:t>培育高端法务人才。</w:t>
            </w:r>
            <w:r>
              <w:rPr>
                <w:rFonts w:ascii="仿宋_GB2312" w:cs="仿宋" w:hint="eastAsia"/>
                <w:snapToGrid w:val="0"/>
                <w:color w:val="000000" w:themeColor="text1"/>
                <w:kern w:val="0"/>
                <w:szCs w:val="32"/>
              </w:rPr>
              <w:t>在海丝中央法务区设立律师学院等人才培训教育机构，培育海商海事等领域的涉外优秀法务人才，建设具有全国影响力的高端法务人才培训基地。</w:t>
            </w:r>
          </w:p>
        </w:tc>
      </w:tr>
    </w:tbl>
    <w:p w:rsidR="00CE1A11" w:rsidRDefault="003B6665" w:rsidP="001519D4">
      <w:pPr>
        <w:adjustRightInd w:val="0"/>
        <w:snapToGrid w:val="0"/>
        <w:spacing w:beforeLines="50" w:afterLines="50" w:line="590" w:lineRule="exact"/>
        <w:ind w:firstLineChars="200" w:firstLine="643"/>
        <w:rPr>
          <w:rFonts w:ascii="仿宋_GB2312" w:eastAsia="仿宋_GB2312"/>
          <w:b/>
          <w:bCs/>
          <w:color w:val="000000" w:themeColor="text1"/>
          <w:szCs w:val="32"/>
        </w:rPr>
      </w:pPr>
      <w:r>
        <w:rPr>
          <w:rFonts w:ascii="仿宋_GB2312" w:eastAsia="仿宋_GB2312" w:hAnsi="仿宋_GB2312" w:cs="仿宋_GB2312" w:hint="eastAsia"/>
          <w:b/>
          <w:bCs/>
          <w:color w:val="000000" w:themeColor="text1"/>
          <w:szCs w:val="32"/>
        </w:rPr>
        <w:lastRenderedPageBreak/>
        <w:t>6.</w:t>
      </w:r>
      <w:r>
        <w:rPr>
          <w:rFonts w:ascii="仿宋_GB2312" w:eastAsia="仿宋_GB2312" w:hAnsi="仿宋_GB2312" w:cs="仿宋_GB2312" w:hint="eastAsia"/>
          <w:b/>
          <w:bCs/>
          <w:color w:val="000000" w:themeColor="text1"/>
          <w:kern w:val="0"/>
          <w:szCs w:val="32"/>
          <w:shd w:val="clear" w:color="auto" w:fill="FFFFFF"/>
        </w:rPr>
        <w:t>生活服务。</w:t>
      </w:r>
      <w:r>
        <w:rPr>
          <w:rFonts w:ascii="仿宋_GB2312" w:eastAsia="仿宋_GB2312" w:hAnsi="Times New Roman" w:cs="Times New Roman" w:hint="eastAsia"/>
          <w:color w:val="000000" w:themeColor="text1"/>
          <w:szCs w:val="32"/>
        </w:rPr>
        <w:t>优化商业网点布局，提升核心商圈业态品质，推动商圈错位发展。推进火车站-莲坂、江头SM、五缘湾、会展-观音山等岛内商圈大提质，优化服务消费功能、提升业态品质。积极培育集美新城、马銮湾新城、同安新城、翔安新城等岛外特色商圈，尽快完善配套、提升功能、集聚人气商气。打造城市一刻钟便民生活圈，发展社区商业中心，加快建设便民消费服务设施，开展便利店品牌化连锁三年行动。促进服务消费提质扩容。推进国家体育消费试点城市建设。持续做大高端品牌赛事影响力,</w:t>
      </w:r>
      <w:r>
        <w:rPr>
          <w:rFonts w:ascii="Times New Roman" w:eastAsia="仿宋_GB2312" w:hAnsi="Times New Roman" w:cs="Times New Roman" w:hint="eastAsia"/>
          <w:color w:val="000000" w:themeColor="text1"/>
          <w:szCs w:val="32"/>
        </w:rPr>
        <w:lastRenderedPageBreak/>
        <w:t>完善体育公共服务基础设施，</w:t>
      </w:r>
      <w:r>
        <w:rPr>
          <w:rFonts w:ascii="Times New Roman" w:eastAsia="仿宋_GB2312" w:hAnsi="Times New Roman" w:cs="Times New Roman" w:hint="eastAsia"/>
          <w:color w:val="000000" w:themeColor="text1"/>
          <w:kern w:val="0"/>
          <w:szCs w:val="32"/>
        </w:rPr>
        <w:t>培育健身休闲、竞赛表演、场馆服务等体育服务业，发展滨海运动、运动在线指导等新兴体育业态。</w:t>
      </w:r>
      <w:r>
        <w:rPr>
          <w:rFonts w:ascii="Times New Roman" w:eastAsia="仿宋_GB2312" w:hAnsi="Times New Roman" w:hint="eastAsia"/>
          <w:color w:val="000000" w:themeColor="text1"/>
          <w:szCs w:val="32"/>
        </w:rPr>
        <w:t>深入实施家政服务业提质扩容“领跑者”行动，强化家政领域信用建设，积极培育知名家政品牌。</w:t>
      </w:r>
      <w:r>
        <w:rPr>
          <w:rFonts w:ascii="仿宋_GB2312" w:eastAsia="仿宋_GB2312" w:hAnsi="Times New Roman" w:cs="Times New Roman" w:hint="eastAsia"/>
          <w:color w:val="000000" w:themeColor="text1"/>
          <w:szCs w:val="32"/>
        </w:rPr>
        <w:t>引导社会办医多元化、高端化、差异化发展，与公立医院实现优势互补，错位发展。</w:t>
      </w:r>
      <w:r>
        <w:rPr>
          <w:rFonts w:ascii="仿宋_GB2312" w:eastAsia="仿宋_GB2312" w:hint="eastAsia"/>
          <w:color w:val="000000" w:themeColor="text1"/>
          <w:szCs w:val="32"/>
        </w:rPr>
        <w:t>打造国内领先的健康医疗大数据服务平台，培育壮大健康管理特色服务产业。合理布局居家、社区和机构养老设施，增加养老服务有效供给</w:t>
      </w:r>
      <w:r>
        <w:rPr>
          <w:rFonts w:ascii="仿宋_GB2312" w:eastAsia="仿宋_GB2312" w:hAnsi="Times New Roman" w:cs="Times New Roman" w:hint="eastAsia"/>
          <w:color w:val="000000" w:themeColor="text1"/>
          <w:szCs w:val="32"/>
        </w:rPr>
        <w:t>。</w:t>
      </w:r>
      <w:r>
        <w:rPr>
          <w:rFonts w:ascii="仿宋_GB2312" w:eastAsia="仿宋_GB2312" w:hAnsi="Times New Roman"/>
          <w:color w:val="000000" w:themeColor="text1"/>
          <w:szCs w:val="32"/>
        </w:rPr>
        <w:t>鼓励支持社会资本开办托育机构,引导优秀的托育机构参与托育服务项目建设,探索连锁化运营,创立托育品牌。</w:t>
      </w:r>
      <w:r>
        <w:rPr>
          <w:rFonts w:ascii="仿宋_GB2312" w:eastAsia="仿宋_GB2312"/>
          <w:color w:val="000000" w:themeColor="text1"/>
          <w:szCs w:val="32"/>
        </w:rPr>
        <w:t>促进研学旅行和学</w:t>
      </w:r>
      <w:r>
        <w:rPr>
          <w:rFonts w:ascii="仿宋_GB2312" w:eastAsia="仿宋_GB2312" w:hAnsi="Times New Roman"/>
          <w:color w:val="000000" w:themeColor="text1"/>
          <w:szCs w:val="32"/>
        </w:rPr>
        <w:t>校课程有机融合</w:t>
      </w:r>
      <w:r>
        <w:rPr>
          <w:rFonts w:ascii="仿宋_GB2312" w:eastAsia="仿宋_GB2312" w:hAnsi="Times New Roman" w:hint="eastAsia"/>
          <w:color w:val="000000" w:themeColor="text1"/>
          <w:szCs w:val="32"/>
        </w:rPr>
        <w:t>，</w:t>
      </w:r>
      <w:r>
        <w:rPr>
          <w:rFonts w:ascii="仿宋_GB2312" w:eastAsia="仿宋_GB2312" w:hAnsi="Times New Roman"/>
          <w:color w:val="000000" w:themeColor="text1"/>
          <w:szCs w:val="32"/>
        </w:rPr>
        <w:t>发展互联网远程教育</w:t>
      </w:r>
      <w:r>
        <w:rPr>
          <w:rFonts w:ascii="仿宋_GB2312" w:eastAsia="仿宋_GB2312"/>
          <w:color w:val="000000" w:themeColor="text1"/>
          <w:szCs w:val="32"/>
        </w:rPr>
        <w:t>，</w:t>
      </w:r>
      <w:r>
        <w:rPr>
          <w:rFonts w:ascii="仿宋_GB2312" w:eastAsia="仿宋_GB2312" w:hint="eastAsia"/>
          <w:color w:val="000000" w:themeColor="text1"/>
          <w:szCs w:val="32"/>
        </w:rPr>
        <w:t>提升课外教育服务水平。</w:t>
      </w:r>
    </w:p>
    <w:p w:rsidR="00CE1A11" w:rsidRDefault="003B6665" w:rsidP="008D767D">
      <w:pPr>
        <w:adjustRightInd w:val="0"/>
        <w:snapToGrid w:val="0"/>
        <w:spacing w:after="0" w:line="590" w:lineRule="exact"/>
        <w:ind w:firstLineChars="200" w:firstLine="643"/>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t>专栏9：培育创建国际消费中心城市</w:t>
      </w:r>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2"/>
      </w:tblGrid>
      <w:tr w:rsidR="00CE1A11">
        <w:trPr>
          <w:jc w:val="center"/>
        </w:trPr>
        <w:tc>
          <w:tcPr>
            <w:tcW w:w="8732" w:type="dxa"/>
            <w:noWrap/>
          </w:tcPr>
          <w:p w:rsidR="00CE1A11" w:rsidRDefault="003B6665">
            <w:pPr>
              <w:overflowPunct w:val="0"/>
              <w:adjustRightInd w:val="0"/>
              <w:snapToGrid w:val="0"/>
              <w:spacing w:after="0" w:line="59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对标国际消费中心城市建设，以规划引导、市场主体、数字驱动、示范引领为核心，紧扣消费主题，推动制度创新，加快优化城市功能品质，提升城市消费能级，力争到2025年基本建成引领全省、辐射东南亚，具有厦门特色的区域性国际消费中心。</w:t>
            </w:r>
          </w:p>
          <w:p w:rsidR="00CE1A11" w:rsidRDefault="003B6665" w:rsidP="008D767D">
            <w:pPr>
              <w:overflowPunct w:val="0"/>
              <w:adjustRightInd w:val="0"/>
              <w:snapToGrid w:val="0"/>
              <w:spacing w:after="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营造高品质消费空间。</w:t>
            </w:r>
            <w:r>
              <w:rPr>
                <w:rFonts w:ascii="仿宋_GB2312" w:eastAsia="仿宋_GB2312" w:hAnsi="仿宋_GB2312" w:cs="仿宋_GB2312" w:hint="eastAsia"/>
                <w:color w:val="000000" w:themeColor="text1"/>
                <w:szCs w:val="32"/>
              </w:rPr>
              <w:t>加快打造区域特色消费商圈。推进智慧商圈建设，建设新消费体验馆，促进消费新业态、新模式、新场景的普及应用。大力发展夜间经济，扩大节假日消费。</w:t>
            </w:r>
          </w:p>
          <w:p w:rsidR="00CE1A11" w:rsidRDefault="003B6665" w:rsidP="008D767D">
            <w:pPr>
              <w:overflowPunct w:val="0"/>
              <w:adjustRightInd w:val="0"/>
              <w:snapToGrid w:val="0"/>
              <w:spacing w:after="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构建多元融合消费业态。</w:t>
            </w:r>
            <w:r>
              <w:rPr>
                <w:rFonts w:ascii="仿宋_GB2312" w:eastAsia="仿宋_GB2312" w:hAnsi="仿宋_GB2312" w:cs="仿宋_GB2312" w:hint="eastAsia"/>
                <w:color w:val="000000" w:themeColor="text1"/>
                <w:szCs w:val="32"/>
              </w:rPr>
              <w:t>加快消费融合创新，发展线上线下深入融合、商品和服务消费互动融合的“新零售”，发展高质量服务消费供给体系。结合实际，打造一批地方特色突出的</w:t>
            </w:r>
            <w:r>
              <w:rPr>
                <w:rFonts w:ascii="仿宋_GB2312" w:eastAsia="仿宋_GB2312" w:hAnsi="仿宋_GB2312" w:cs="仿宋_GB2312" w:hint="eastAsia"/>
                <w:color w:val="000000" w:themeColor="text1"/>
                <w:szCs w:val="32"/>
              </w:rPr>
              <w:lastRenderedPageBreak/>
              <w:t>专业性、垂直性电商平台。发展首店经济，鼓励高端知名商业品牌入驻厦门。发展时尚、创意等文化产业新业态，培育一批有国际影响力的时尚传媒品牌和时尚产业集聚平台。</w:t>
            </w:r>
          </w:p>
          <w:p w:rsidR="00CE1A11" w:rsidRDefault="003B6665" w:rsidP="008D767D">
            <w:pPr>
              <w:overflowPunct w:val="0"/>
              <w:adjustRightInd w:val="0"/>
              <w:snapToGrid w:val="0"/>
              <w:spacing w:after="0" w:line="590" w:lineRule="exact"/>
              <w:ind w:firstLineChars="200" w:firstLine="643"/>
              <w:rPr>
                <w:rFonts w:ascii="仿宋_GB2312"/>
                <w:color w:val="000000" w:themeColor="text1"/>
                <w:sz w:val="28"/>
                <w:szCs w:val="28"/>
              </w:rPr>
            </w:pPr>
            <w:r>
              <w:rPr>
                <w:rFonts w:ascii="仿宋_GB2312" w:eastAsia="仿宋_GB2312" w:hAnsi="仿宋_GB2312" w:cs="仿宋_GB2312" w:hint="eastAsia"/>
                <w:b/>
                <w:bCs/>
                <w:color w:val="000000" w:themeColor="text1"/>
                <w:szCs w:val="32"/>
              </w:rPr>
              <w:t>塑造安全友好消费环境。</w:t>
            </w:r>
            <w:r>
              <w:rPr>
                <w:rFonts w:ascii="仿宋_GB2312" w:eastAsia="仿宋_GB2312" w:hAnsi="仿宋_GB2312" w:cs="仿宋_GB2312" w:hint="eastAsia"/>
                <w:color w:val="000000" w:themeColor="text1"/>
                <w:szCs w:val="32"/>
              </w:rPr>
              <w:t>加强重要产品质量追溯体系建设，完善重要产品追溯统一平台，实现追溯信息互联互通。加快消费诚信体系建设，发挥“i厦门”等公共服务平台作用。健全消费者权益保护机制。</w:t>
            </w:r>
          </w:p>
        </w:tc>
      </w:tr>
    </w:tbl>
    <w:p w:rsidR="00CE1A11" w:rsidRDefault="003B6665" w:rsidP="001519D4">
      <w:pPr>
        <w:pStyle w:val="2"/>
        <w:numPr>
          <w:ilvl w:val="0"/>
          <w:numId w:val="0"/>
        </w:numPr>
        <w:adjustRightInd w:val="0"/>
        <w:snapToGrid w:val="0"/>
        <w:spacing w:beforeLines="50" w:line="590" w:lineRule="exact"/>
        <w:ind w:firstLineChars="200" w:firstLine="643"/>
        <w:jc w:val="both"/>
        <w:rPr>
          <w:rFonts w:ascii="仿宋_GB2312" w:eastAsia="仿宋_GB2312" w:hAnsi="仿宋_GB2312" w:cs="仿宋_GB2312" w:hint="default"/>
          <w:b/>
          <w:bCs/>
          <w:color w:val="000000" w:themeColor="text1"/>
        </w:rPr>
      </w:pPr>
      <w:bookmarkStart w:id="58" w:name="_Toc936399381"/>
      <w:bookmarkStart w:id="59" w:name="_Toc102423770"/>
      <w:bookmarkStart w:id="60" w:name="_Toc203414113"/>
      <w:r>
        <w:rPr>
          <w:rFonts w:ascii="楷体_GB2312" w:eastAsia="楷体_GB2312" w:hAnsi="楷体_GB2312" w:cs="楷体_GB2312"/>
          <w:b/>
          <w:bCs/>
          <w:color w:val="000000" w:themeColor="text1"/>
        </w:rPr>
        <w:lastRenderedPageBreak/>
        <w:t>（二）金融</w:t>
      </w:r>
      <w:bookmarkEnd w:id="58"/>
      <w:bookmarkEnd w:id="59"/>
      <w:r>
        <w:rPr>
          <w:rFonts w:ascii="楷体_GB2312" w:eastAsia="楷体_GB2312" w:hAnsi="楷体_GB2312" w:cs="楷体_GB2312"/>
          <w:b/>
          <w:bCs/>
          <w:color w:val="000000" w:themeColor="text1"/>
        </w:rPr>
        <w:t>服务</w:t>
      </w:r>
      <w:bookmarkEnd w:id="60"/>
    </w:p>
    <w:p w:rsidR="00CE1A11" w:rsidRDefault="003B6665">
      <w:pPr>
        <w:adjustRightInd w:val="0"/>
        <w:snapToGrid w:val="0"/>
        <w:spacing w:after="0" w:line="590" w:lineRule="exact"/>
        <w:ind w:firstLineChars="200" w:firstLine="640"/>
        <w:rPr>
          <w:rFonts w:ascii="仿宋_GB2312" w:eastAsia="仿宋_GB2312" w:hAnsi="仿宋_GB2312" w:cs="仿宋_GB2312"/>
          <w:b/>
          <w:bCs/>
          <w:color w:val="000000" w:themeColor="text1"/>
          <w:szCs w:val="32"/>
        </w:rPr>
      </w:pPr>
      <w:r>
        <w:rPr>
          <w:rFonts w:ascii="仿宋_GB2312" w:eastAsia="仿宋_GB2312" w:hAnsi="仿宋_GB2312" w:cs="仿宋_GB2312" w:hint="eastAsia"/>
          <w:color w:val="000000" w:themeColor="text1"/>
          <w:szCs w:val="32"/>
        </w:rPr>
        <w:t>到2025年，金融服务业营业收入超3000亿元，金融增加值超1000亿元，结合厦门特点发展特色金融，加快建设服务两岸、辐射东南亚、连接“21 世纪海上丝绸之路”、面向全球的区域金融中心。</w:t>
      </w:r>
    </w:p>
    <w:p w:rsidR="00CE1A11" w:rsidRDefault="003B6665" w:rsidP="008D767D">
      <w:pPr>
        <w:adjustRightInd w:val="0"/>
        <w:snapToGrid w:val="0"/>
        <w:spacing w:after="0" w:line="590" w:lineRule="exact"/>
        <w:ind w:firstLineChars="200" w:firstLine="643"/>
        <w:rPr>
          <w:rFonts w:ascii="仿宋_GB2312" w:eastAsia="仿宋_GB2312" w:hAnsi="仿宋_GB2312" w:cs="仿宋_GB2312"/>
          <w:color w:val="000000" w:themeColor="text1"/>
          <w:szCs w:val="32"/>
        </w:rPr>
      </w:pPr>
      <w:bookmarkStart w:id="61" w:name="_Toc917032647_WPSOffice_Level2"/>
      <w:bookmarkStart w:id="62" w:name="_Toc1015729749_WPSOffice_Level2"/>
      <w:bookmarkStart w:id="63" w:name="_Toc97029422"/>
      <w:r>
        <w:rPr>
          <w:rFonts w:ascii="仿宋_GB2312" w:eastAsia="仿宋_GB2312" w:hAnsi="仿宋_GB2312" w:cs="仿宋_GB2312" w:hint="eastAsia"/>
          <w:b/>
          <w:bCs/>
          <w:color w:val="000000" w:themeColor="text1"/>
          <w:szCs w:val="32"/>
        </w:rPr>
        <w:t>1.供应链金融。</w:t>
      </w:r>
      <w:r>
        <w:rPr>
          <w:rFonts w:ascii="仿宋_GB2312" w:eastAsia="仿宋_GB2312" w:hAnsi="仿宋_GB2312" w:cs="仿宋_GB2312" w:hint="eastAsia"/>
          <w:color w:val="000000" w:themeColor="text1"/>
          <w:szCs w:val="32"/>
        </w:rPr>
        <w:t>支持各类金融机构以服务产业链供应链为切入点，围绕进口、采购、生产、物流、服务、销售、出口等全流程环节，加快供应链金融服务创新探索步伐。推动供应链金融场景化和生态化，努力打造一批厦门供应链金融服务模式创新示范项目。支持供应链核心企业提高融资能力，畅通和稳定上下游产业链条。大力发展线上供应链金融，提升供应链金融的服务效率和风险防控水平。鼓励各保险机构积极嵌入供应链环节，持续扩大出口信保保单融资规模，加大国内贸易险、仓单财产保险等供应链保险产品供给。</w:t>
      </w:r>
    </w:p>
    <w:p w:rsidR="00CE1A11" w:rsidRDefault="003B6665" w:rsidP="008D767D">
      <w:pPr>
        <w:adjustRightInd w:val="0"/>
        <w:spacing w:after="0" w:line="590" w:lineRule="exact"/>
        <w:ind w:firstLineChars="200" w:firstLine="643"/>
        <w:rPr>
          <w:rFonts w:ascii="仿宋_GB2312" w:eastAsia="仿宋_GB2312" w:cs="仿宋_GB2312"/>
          <w:b/>
          <w:bCs/>
          <w:color w:val="000000" w:themeColor="text1"/>
          <w:kern w:val="0"/>
          <w:szCs w:val="32"/>
        </w:rPr>
      </w:pPr>
      <w:r>
        <w:rPr>
          <w:rFonts w:ascii="仿宋_GB2312" w:eastAsia="仿宋_GB2312" w:cs="仿宋_GB2312" w:hint="eastAsia"/>
          <w:b/>
          <w:bCs/>
          <w:color w:val="000000" w:themeColor="text1"/>
          <w:kern w:val="0"/>
          <w:szCs w:val="32"/>
        </w:rPr>
        <w:t>2.航运金融。</w:t>
      </w:r>
      <w:r>
        <w:rPr>
          <w:rFonts w:ascii="仿宋_GB2312" w:eastAsia="仿宋_GB2312" w:cs="仿宋_GB2312" w:hint="eastAsia"/>
          <w:color w:val="000000" w:themeColor="text1"/>
          <w:kern w:val="0"/>
          <w:szCs w:val="32"/>
        </w:rPr>
        <w:t>以发展“丝路海运”为契机，引进境内外保险、融资租赁及相关中介服务机构，丰富船舶租赁、船舶融资和保险、</w:t>
      </w:r>
      <w:r>
        <w:rPr>
          <w:rFonts w:ascii="仿宋_GB2312" w:eastAsia="仿宋_GB2312" w:cs="仿宋_GB2312" w:hint="eastAsia"/>
          <w:color w:val="000000" w:themeColor="text1"/>
          <w:kern w:val="0"/>
          <w:szCs w:val="32"/>
        </w:rPr>
        <w:lastRenderedPageBreak/>
        <w:t>资产转让、资金结算、航运金融工具衍生品等金融服务功能。鼓励发展飞机船舶融资租赁业务。积极引进航材供应链服务机构、船舶资产评估机构、航运交易经纪人、海事仲裁和海事法律服务援助等航运金融配套服务机构。</w:t>
      </w:r>
    </w:p>
    <w:p w:rsidR="00CE1A11" w:rsidRDefault="003B6665" w:rsidP="008D767D">
      <w:pPr>
        <w:adjustRightInd w:val="0"/>
        <w:spacing w:after="0" w:line="590" w:lineRule="exact"/>
        <w:ind w:firstLineChars="200" w:firstLine="643"/>
        <w:rPr>
          <w:color w:val="000000" w:themeColor="text1"/>
        </w:rPr>
      </w:pPr>
      <w:r>
        <w:rPr>
          <w:rFonts w:ascii="仿宋_GB2312" w:eastAsia="仿宋_GB2312" w:hAnsi="仿宋_GB2312" w:cs="仿宋_GB2312" w:hint="eastAsia"/>
          <w:b/>
          <w:bCs/>
          <w:color w:val="000000" w:themeColor="text1"/>
          <w:szCs w:val="32"/>
        </w:rPr>
        <w:t>3.科创金融。</w:t>
      </w:r>
      <w:r>
        <w:rPr>
          <w:rFonts w:ascii="仿宋_GB2312" w:eastAsia="仿宋_GB2312" w:cs="仿宋_GB2312" w:hint="eastAsia"/>
          <w:color w:val="000000" w:themeColor="text1"/>
          <w:kern w:val="0"/>
          <w:szCs w:val="32"/>
        </w:rPr>
        <w:t>构建多类型金融主体参与的科创金融融资服务平台，导入风险补偿基金、政策性保险、政策性担保等政策资源，提供覆盖企业全成长周期的科技金融产品。</w:t>
      </w:r>
      <w:r>
        <w:rPr>
          <w:rFonts w:ascii="仿宋_GB2312" w:eastAsia="仿宋_GB2312" w:hAnsi="仿宋_GB2312" w:cs="仿宋_GB2312" w:hint="eastAsia"/>
          <w:color w:val="000000" w:themeColor="text1"/>
          <w:szCs w:val="32"/>
        </w:rPr>
        <w:t>鼓励金融机构设立科创金融专营机构，加快对科创企业的贷款产品创新和推广。</w:t>
      </w:r>
      <w:r>
        <w:rPr>
          <w:rFonts w:ascii="仿宋_GB2312" w:eastAsia="仿宋_GB2312" w:cs="仿宋_GB2312" w:hint="eastAsia"/>
          <w:color w:val="000000" w:themeColor="text1"/>
          <w:kern w:val="0"/>
          <w:szCs w:val="32"/>
        </w:rPr>
        <w:t>拓宽科技企业股权融资渠道，运用产业引导基金、风险补偿等工具引导各类基金加大对创新创业和科技成果转化投资，支持科创企业赴多层次资本市场上市融资。</w:t>
      </w:r>
      <w:bookmarkEnd w:id="61"/>
      <w:bookmarkEnd w:id="62"/>
    </w:p>
    <w:p w:rsidR="00CE1A11" w:rsidRDefault="003B6665" w:rsidP="008D767D">
      <w:pPr>
        <w:adjustRightInd w:val="0"/>
        <w:snapToGrid w:val="0"/>
        <w:spacing w:after="0" w:line="59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4.财富管理。</w:t>
      </w:r>
      <w:r>
        <w:rPr>
          <w:rFonts w:ascii="仿宋_GB2312" w:eastAsia="仿宋_GB2312" w:hAnsi="仿宋_GB2312" w:cs="仿宋_GB2312" w:hint="eastAsia"/>
          <w:color w:val="000000" w:themeColor="text1"/>
          <w:szCs w:val="32"/>
        </w:rPr>
        <w:t xml:space="preserve">鼓励各类基金集聚，大力发展股权投资基金，完善政府引导基金体系，优化奖励扶持政策，打造具有厦门地区特色的基金空间载体，引进各类天使基金、创投基金、并购基金、母基金等在厦集聚。稳健发展证券投资基金，支持私募证券投资基金在厦合规发展。引导和鼓励设立各类产业专项基金。积极争取私募股权基金跨境投资试点政策，加快打造私募股权基金境内外双向投资通道，积极引进优质境外资本，支持境内企业通过基金参与“一带一路”项目的投资建设。 </w:t>
      </w:r>
    </w:p>
    <w:p w:rsidR="00CE1A11" w:rsidRDefault="003B6665" w:rsidP="001519D4">
      <w:pPr>
        <w:adjustRightInd w:val="0"/>
        <w:spacing w:afterLines="50" w:line="590" w:lineRule="exact"/>
        <w:ind w:firstLineChars="200" w:firstLine="643"/>
        <w:rPr>
          <w:rFonts w:ascii="仿宋_GB2312" w:eastAsia="仿宋_GB2312" w:cs="仿宋_GB2312"/>
          <w:color w:val="000000" w:themeColor="text1"/>
          <w:kern w:val="0"/>
          <w:szCs w:val="32"/>
        </w:rPr>
      </w:pPr>
      <w:r>
        <w:rPr>
          <w:rFonts w:ascii="仿宋_GB2312" w:eastAsia="仿宋_GB2312" w:cs="仿宋_GB2312" w:hint="eastAsia"/>
          <w:b/>
          <w:bCs/>
          <w:color w:val="000000" w:themeColor="text1"/>
          <w:kern w:val="0"/>
          <w:szCs w:val="32"/>
        </w:rPr>
        <w:t>5.绿色金融。</w:t>
      </w:r>
      <w:r>
        <w:rPr>
          <w:rFonts w:ascii="仿宋_GB2312" w:eastAsia="仿宋_GB2312" w:cs="仿宋_GB2312" w:hint="eastAsia"/>
          <w:color w:val="000000" w:themeColor="text1"/>
          <w:kern w:val="0"/>
          <w:szCs w:val="32"/>
        </w:rPr>
        <w:t>推动金融机构设立绿色金融事业部、绿色金融专营机构，引导银行机构加大对绿色环保产业信贷投入力度。鼓</w:t>
      </w:r>
      <w:r>
        <w:rPr>
          <w:rFonts w:ascii="仿宋_GB2312" w:eastAsia="仿宋_GB2312" w:cs="仿宋_GB2312" w:hint="eastAsia"/>
          <w:color w:val="000000" w:themeColor="text1"/>
          <w:spacing w:val="-6"/>
          <w:kern w:val="0"/>
          <w:szCs w:val="32"/>
        </w:rPr>
        <w:t>励社会资本设立绿色产业投资基金，加快培育绿色评级、绿色技术服务以及环境风险评估等专业服务机构。支持有条件的金融机构、</w:t>
      </w:r>
      <w:r>
        <w:rPr>
          <w:rFonts w:ascii="仿宋_GB2312" w:eastAsia="仿宋_GB2312" w:cs="仿宋_GB2312" w:hint="eastAsia"/>
          <w:color w:val="000000" w:themeColor="text1"/>
          <w:spacing w:val="-6"/>
          <w:kern w:val="0"/>
          <w:szCs w:val="32"/>
        </w:rPr>
        <w:lastRenderedPageBreak/>
        <w:t>企业发行绿色债券，探索发展绿色资产支持证券，</w:t>
      </w:r>
      <w:r>
        <w:rPr>
          <w:rFonts w:ascii="仿宋_GB2312" w:eastAsia="仿宋_GB2312" w:cs="仿宋_GB2312" w:hint="eastAsia"/>
          <w:bCs/>
          <w:color w:val="000000" w:themeColor="text1"/>
          <w:spacing w:val="-6"/>
          <w:kern w:val="0"/>
          <w:szCs w:val="32"/>
        </w:rPr>
        <w:t>培育绿色金融和环境权益交易市场，完善定价机制和交易规则，</w:t>
      </w:r>
      <w:r>
        <w:rPr>
          <w:rFonts w:ascii="仿宋_GB2312" w:eastAsia="仿宋_GB2312" w:cs="仿宋_GB2312" w:hint="eastAsia"/>
          <w:color w:val="000000" w:themeColor="text1"/>
          <w:spacing w:val="-6"/>
          <w:kern w:val="0"/>
          <w:szCs w:val="32"/>
        </w:rPr>
        <w:t>开展碳金融融资产品创新。鼓励开展绿色保险，完善环境风险管理和补偿机制。</w:t>
      </w:r>
    </w:p>
    <w:p w:rsidR="00CE1A11" w:rsidRDefault="003B6665">
      <w:pPr>
        <w:adjustRightInd w:val="0"/>
        <w:snapToGrid w:val="0"/>
        <w:spacing w:after="0" w:line="590" w:lineRule="exact"/>
        <w:jc w:val="center"/>
        <w:rPr>
          <w:rFonts w:ascii="楷体" w:eastAsia="楷体" w:hAnsi="楷体" w:cs="楷体"/>
          <w:b/>
          <w:bCs/>
          <w:color w:val="000000" w:themeColor="text1"/>
          <w:spacing w:val="-1"/>
          <w:szCs w:val="32"/>
        </w:rPr>
      </w:pPr>
      <w:bookmarkStart w:id="64" w:name="_Toc1151255749_WPSOffice_Level2"/>
      <w:bookmarkStart w:id="65" w:name="_Toc585275067_WPSOffice_Level2"/>
      <w:bookmarkStart w:id="66" w:name="_Toc469430101_WPSOffice_Level2"/>
      <w:r>
        <w:rPr>
          <w:rFonts w:ascii="楷体_GB2312" w:eastAsia="楷体_GB2312" w:hAnsi="楷体_GB2312" w:cs="楷体_GB2312" w:hint="eastAsia"/>
          <w:b/>
          <w:bCs/>
          <w:color w:val="000000" w:themeColor="text1"/>
          <w:szCs w:val="32"/>
        </w:rPr>
        <w:t>专栏10：建设金融科技产业集聚区</w:t>
      </w:r>
      <w:bookmarkEnd w:id="64"/>
      <w:bookmarkEnd w:id="65"/>
      <w:bookmarkEnd w:id="66"/>
    </w:p>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2"/>
      </w:tblGrid>
      <w:tr w:rsidR="00CE1A11">
        <w:trPr>
          <w:jc w:val="center"/>
        </w:trPr>
        <w:tc>
          <w:tcPr>
            <w:tcW w:w="8732" w:type="dxa"/>
            <w:tcBorders>
              <w:top w:val="single" w:sz="4" w:space="0" w:color="auto"/>
              <w:left w:val="single" w:sz="4" w:space="0" w:color="auto"/>
              <w:bottom w:val="single" w:sz="4" w:space="0" w:color="auto"/>
              <w:right w:val="single" w:sz="4" w:space="0" w:color="auto"/>
            </w:tcBorders>
          </w:tcPr>
          <w:p w:rsidR="00CE1A11" w:rsidRDefault="003B6665">
            <w:pPr>
              <w:adjustRightInd w:val="0"/>
              <w:spacing w:after="0" w:line="590" w:lineRule="exact"/>
              <w:ind w:firstLineChars="200" w:firstLine="640"/>
              <w:rPr>
                <w:rFonts w:ascii="仿宋_GB2312" w:eastAsia="仿宋_GB2312" w:hAnsi="Times New Roman" w:cs="仿宋_GB2312"/>
                <w:bCs/>
                <w:color w:val="000000" w:themeColor="text1"/>
                <w:kern w:val="0"/>
                <w:szCs w:val="32"/>
              </w:rPr>
            </w:pPr>
            <w:r>
              <w:rPr>
                <w:rFonts w:ascii="仿宋_GB2312" w:eastAsia="仿宋_GB2312" w:hAnsi="Times New Roman" w:cs="仿宋_GB2312" w:hint="eastAsia"/>
                <w:bCs/>
                <w:color w:val="000000" w:themeColor="text1"/>
                <w:kern w:val="0"/>
                <w:szCs w:val="32"/>
              </w:rPr>
              <w:t>按照政府引导、市场化运作的方式，统筹</w:t>
            </w:r>
            <w:r>
              <w:rPr>
                <w:rFonts w:ascii="仿宋_GB2312" w:eastAsia="仿宋_GB2312" w:hAnsi="Times New Roman" w:cs="仿宋_GB2312" w:hint="eastAsia"/>
                <w:color w:val="000000" w:themeColor="text1"/>
                <w:kern w:val="0"/>
                <w:szCs w:val="32"/>
              </w:rPr>
              <w:t>推进</w:t>
            </w:r>
            <w:r>
              <w:rPr>
                <w:rFonts w:ascii="仿宋_GB2312" w:eastAsia="仿宋_GB2312" w:hAnsi="Times New Roman" w:cs="仿宋_GB2312" w:hint="eastAsia"/>
                <w:bCs/>
                <w:color w:val="000000" w:themeColor="text1"/>
                <w:kern w:val="0"/>
                <w:szCs w:val="32"/>
              </w:rPr>
              <w:t>项目引进培育工作。重点建设以下平台：</w:t>
            </w:r>
          </w:p>
          <w:p w:rsidR="00CE1A11" w:rsidRDefault="003B6665" w:rsidP="008D767D">
            <w:pPr>
              <w:adjustRightInd w:val="0"/>
              <w:spacing w:after="0" w:line="590" w:lineRule="exact"/>
              <w:ind w:firstLineChars="200" w:firstLine="643"/>
              <w:rPr>
                <w:rFonts w:ascii="仿宋_GB2312" w:eastAsia="仿宋_GB2312" w:hAnsi="Times New Roman" w:cs="仿宋_GB2312"/>
                <w:color w:val="000000" w:themeColor="text1"/>
                <w:kern w:val="0"/>
                <w:szCs w:val="32"/>
              </w:rPr>
            </w:pPr>
            <w:r>
              <w:rPr>
                <w:rFonts w:ascii="仿宋_GB2312" w:eastAsia="仿宋_GB2312" w:hAnsi="Times New Roman" w:cs="仿宋_GB2312" w:hint="eastAsia"/>
                <w:b/>
                <w:bCs/>
                <w:color w:val="000000" w:themeColor="text1"/>
                <w:kern w:val="0"/>
                <w:szCs w:val="32"/>
              </w:rPr>
              <w:t>金融科技研究平台：</w:t>
            </w:r>
            <w:r>
              <w:rPr>
                <w:rFonts w:ascii="仿宋_GB2312" w:eastAsia="仿宋_GB2312" w:hAnsi="Times New Roman" w:cs="仿宋_GB2312" w:hint="eastAsia"/>
                <w:bCs/>
                <w:color w:val="000000" w:themeColor="text1"/>
                <w:kern w:val="0"/>
                <w:szCs w:val="32"/>
              </w:rPr>
              <w:t>引进</w:t>
            </w:r>
            <w:r>
              <w:rPr>
                <w:rFonts w:ascii="仿宋_GB2312" w:eastAsia="仿宋_GB2312" w:hAnsi="Times New Roman" w:cs="仿宋_GB2312" w:hint="eastAsia"/>
                <w:color w:val="000000" w:themeColor="text1"/>
                <w:kern w:val="0"/>
                <w:szCs w:val="32"/>
              </w:rPr>
              <w:t>国内权威研究机构、行业组织和高校等多方力量共同发起成立金融科技研究机构，举办金融科技大型论坛活动及各类大中小型（开放式、闭门的）学术研讨会议，承担金融科技产业规划研究、集聚区入驻企业认定、金融人才培训等服务。</w:t>
            </w:r>
          </w:p>
          <w:p w:rsidR="00CE1A11" w:rsidRDefault="003B6665" w:rsidP="008D767D">
            <w:pPr>
              <w:adjustRightInd w:val="0"/>
              <w:spacing w:after="0" w:line="590" w:lineRule="exact"/>
              <w:ind w:firstLineChars="200" w:firstLine="643"/>
              <w:rPr>
                <w:rFonts w:ascii="仿宋_GB2312" w:eastAsia="仿宋_GB2312" w:hAnsi="Times New Roman" w:cs="仿宋_GB2312"/>
                <w:bCs/>
                <w:color w:val="000000" w:themeColor="text1"/>
                <w:kern w:val="0"/>
                <w:szCs w:val="32"/>
              </w:rPr>
            </w:pPr>
            <w:r>
              <w:rPr>
                <w:rFonts w:ascii="仿宋_GB2312" w:eastAsia="仿宋_GB2312" w:hAnsi="Times New Roman" w:cs="仿宋_GB2312" w:hint="eastAsia"/>
                <w:b/>
                <w:bCs/>
                <w:color w:val="000000" w:themeColor="text1"/>
                <w:kern w:val="0"/>
                <w:szCs w:val="32"/>
              </w:rPr>
              <w:t>金融科技孵化加速平台：</w:t>
            </w:r>
            <w:r>
              <w:rPr>
                <w:rFonts w:ascii="仿宋_GB2312" w:eastAsia="仿宋_GB2312" w:hAnsi="Times New Roman" w:cs="仿宋_GB2312" w:hint="eastAsia"/>
                <w:bCs/>
                <w:color w:val="000000" w:themeColor="text1"/>
                <w:kern w:val="0"/>
                <w:szCs w:val="32"/>
              </w:rPr>
              <w:t>设立金融科技项目孵化空间，科学制定入驻标准，</w:t>
            </w:r>
            <w:r>
              <w:rPr>
                <w:rFonts w:ascii="仿宋_GB2312" w:eastAsia="仿宋_GB2312" w:hAnsi="Times New Roman" w:cs="仿宋_GB2312" w:hint="eastAsia"/>
                <w:color w:val="000000" w:themeColor="text1"/>
                <w:kern w:val="0"/>
                <w:szCs w:val="32"/>
              </w:rPr>
              <w:t>重点推动</w:t>
            </w:r>
            <w:r>
              <w:rPr>
                <w:rFonts w:ascii="仿宋_GB2312" w:eastAsia="仿宋_GB2312" w:hAnsi="Times New Roman" w:cs="仿宋_GB2312" w:hint="eastAsia"/>
                <w:bCs/>
                <w:color w:val="000000" w:themeColor="text1"/>
                <w:kern w:val="0"/>
                <w:szCs w:val="32"/>
              </w:rPr>
              <w:t>初创型金融科技企业和</w:t>
            </w:r>
            <w:r>
              <w:rPr>
                <w:rFonts w:ascii="仿宋_GB2312" w:eastAsia="仿宋_GB2312" w:hAnsi="Times New Roman" w:cs="仿宋_GB2312" w:hint="eastAsia"/>
                <w:color w:val="000000" w:themeColor="text1"/>
                <w:kern w:val="0"/>
                <w:szCs w:val="32"/>
              </w:rPr>
              <w:t>新锐</w:t>
            </w:r>
            <w:r>
              <w:rPr>
                <w:rFonts w:ascii="仿宋_GB2312" w:eastAsia="仿宋_GB2312" w:hAnsi="Times New Roman" w:cs="仿宋_GB2312" w:hint="eastAsia"/>
                <w:bCs/>
                <w:color w:val="000000" w:themeColor="text1"/>
                <w:kern w:val="0"/>
                <w:szCs w:val="32"/>
              </w:rPr>
              <w:t>企业项目入驻。设立</w:t>
            </w:r>
            <w:r>
              <w:rPr>
                <w:rFonts w:ascii="仿宋_GB2312" w:eastAsia="仿宋_GB2312" w:hAnsi="Times New Roman" w:cs="仿宋_GB2312" w:hint="eastAsia"/>
                <w:color w:val="000000" w:themeColor="text1"/>
                <w:kern w:val="0"/>
                <w:szCs w:val="32"/>
              </w:rPr>
              <w:t>金融产业投资基金，专项投资优质</w:t>
            </w:r>
            <w:r>
              <w:rPr>
                <w:rFonts w:ascii="仿宋_GB2312" w:eastAsia="仿宋_GB2312" w:hAnsi="Times New Roman" w:cs="仿宋_GB2312" w:hint="eastAsia"/>
                <w:bCs/>
                <w:color w:val="000000" w:themeColor="text1"/>
                <w:kern w:val="0"/>
                <w:szCs w:val="32"/>
              </w:rPr>
              <w:t>金融科技等项目，丰富企业股权融资、并购以及与资本市场对接渠道。</w:t>
            </w:r>
          </w:p>
          <w:p w:rsidR="00CE1A11" w:rsidRDefault="003B6665" w:rsidP="008D767D">
            <w:pPr>
              <w:adjustRightInd w:val="0"/>
              <w:spacing w:after="0" w:line="590" w:lineRule="exact"/>
              <w:ind w:firstLineChars="200" w:firstLine="618"/>
              <w:rPr>
                <w:rFonts w:ascii="仿宋_GB2312" w:eastAsia="仿宋_GB2312" w:hAnsi="Times New Roman" w:cs="仿宋_GB2312"/>
                <w:color w:val="000000" w:themeColor="text1"/>
                <w:spacing w:val="-6"/>
                <w:kern w:val="0"/>
                <w:szCs w:val="32"/>
              </w:rPr>
            </w:pPr>
            <w:r>
              <w:rPr>
                <w:rFonts w:ascii="仿宋_GB2312" w:eastAsia="仿宋_GB2312" w:hAnsi="Times New Roman" w:cs="仿宋_GB2312" w:hint="eastAsia"/>
                <w:b/>
                <w:bCs/>
                <w:color w:val="000000" w:themeColor="text1"/>
                <w:spacing w:val="-6"/>
                <w:kern w:val="0"/>
                <w:szCs w:val="32"/>
              </w:rPr>
              <w:t>金融科技成果转化平台：</w:t>
            </w:r>
            <w:r>
              <w:rPr>
                <w:rFonts w:ascii="仿宋_GB2312" w:eastAsia="仿宋_GB2312" w:hAnsi="Times New Roman" w:cs="仿宋_GB2312" w:hint="eastAsia"/>
                <w:bCs/>
                <w:color w:val="000000" w:themeColor="text1"/>
                <w:spacing w:val="-6"/>
                <w:kern w:val="0"/>
                <w:szCs w:val="32"/>
              </w:rPr>
              <w:t>搭建线上、线下金融机构与金融科技企业对接平台，鼓励银行、证券期货、保险等</w:t>
            </w:r>
            <w:r>
              <w:rPr>
                <w:rFonts w:ascii="仿宋_GB2312" w:eastAsia="仿宋_GB2312" w:hAnsi="Times New Roman" w:cs="仿宋_GB2312" w:hint="eastAsia"/>
                <w:color w:val="000000" w:themeColor="text1"/>
                <w:spacing w:val="-6"/>
                <w:kern w:val="0"/>
                <w:szCs w:val="32"/>
              </w:rPr>
              <w:t>持牌</w:t>
            </w:r>
            <w:r>
              <w:rPr>
                <w:rFonts w:ascii="仿宋_GB2312" w:eastAsia="仿宋_GB2312" w:hAnsi="Times New Roman" w:cs="仿宋_GB2312" w:hint="eastAsia"/>
                <w:bCs/>
                <w:color w:val="000000" w:themeColor="text1"/>
                <w:spacing w:val="-6"/>
                <w:kern w:val="0"/>
                <w:szCs w:val="32"/>
              </w:rPr>
              <w:t>金融机构</w:t>
            </w:r>
            <w:r>
              <w:rPr>
                <w:rFonts w:ascii="仿宋_GB2312" w:eastAsia="仿宋_GB2312" w:hAnsi="Times New Roman" w:cs="仿宋_GB2312" w:hint="eastAsia"/>
                <w:color w:val="000000" w:themeColor="text1"/>
                <w:spacing w:val="-6"/>
                <w:kern w:val="0"/>
                <w:szCs w:val="32"/>
              </w:rPr>
              <w:t>、知名互联网新经济企业</w:t>
            </w:r>
            <w:r>
              <w:rPr>
                <w:rFonts w:ascii="仿宋_GB2312" w:eastAsia="仿宋_GB2312" w:hAnsi="Times New Roman" w:cs="仿宋_GB2312" w:hint="eastAsia"/>
                <w:bCs/>
                <w:color w:val="000000" w:themeColor="text1"/>
                <w:spacing w:val="-6"/>
                <w:kern w:val="0"/>
                <w:szCs w:val="32"/>
              </w:rPr>
              <w:t>设立研发中心，发展智慧移动支付、证券智能投顾、保险科技、金融客户画像及大数据风控等业务，实现流程再造、产品服务创新和内部风险控制等方面的优化升级。</w:t>
            </w:r>
          </w:p>
          <w:p w:rsidR="00CE1A11" w:rsidRDefault="003B6665" w:rsidP="008D767D">
            <w:pPr>
              <w:adjustRightInd w:val="0"/>
              <w:spacing w:after="0" w:line="590" w:lineRule="exact"/>
              <w:ind w:firstLineChars="200" w:firstLine="643"/>
              <w:rPr>
                <w:rFonts w:ascii="仿宋_GB2312" w:eastAsia="仿宋_GB2312" w:hAnsi="Times New Roman" w:cs="仿宋_GB2312"/>
                <w:bCs/>
                <w:color w:val="000000" w:themeColor="text1"/>
                <w:kern w:val="0"/>
                <w:szCs w:val="32"/>
              </w:rPr>
            </w:pPr>
            <w:r>
              <w:rPr>
                <w:rFonts w:ascii="仿宋_GB2312" w:eastAsia="仿宋_GB2312" w:hAnsi="Times New Roman" w:cs="仿宋_GB2312" w:hint="eastAsia"/>
                <w:b/>
                <w:bCs/>
                <w:color w:val="000000" w:themeColor="text1"/>
                <w:kern w:val="0"/>
                <w:szCs w:val="32"/>
              </w:rPr>
              <w:t>金融科技创新监管：</w:t>
            </w:r>
            <w:r>
              <w:rPr>
                <w:rFonts w:ascii="仿宋_GB2312" w:eastAsia="仿宋_GB2312" w:hAnsi="Times New Roman" w:cs="仿宋_GB2312" w:hint="eastAsia"/>
                <w:bCs/>
                <w:color w:val="000000" w:themeColor="text1"/>
                <w:kern w:val="0"/>
                <w:szCs w:val="32"/>
              </w:rPr>
              <w:t>制定透明化、标准化、科技化的监管流程，</w:t>
            </w:r>
            <w:r>
              <w:rPr>
                <w:rFonts w:ascii="仿宋_GB2312" w:eastAsia="仿宋_GB2312" w:hAnsi="Times New Roman" w:cs="仿宋_GB2312" w:hint="eastAsia"/>
                <w:color w:val="000000" w:themeColor="text1"/>
                <w:kern w:val="0"/>
                <w:szCs w:val="32"/>
              </w:rPr>
              <w:t>探索实施</w:t>
            </w:r>
            <w:r>
              <w:rPr>
                <w:rFonts w:ascii="仿宋_GB2312" w:eastAsia="仿宋_GB2312" w:hAnsi="Times New Roman" w:cs="仿宋_GB2312" w:hint="eastAsia"/>
                <w:bCs/>
                <w:color w:val="000000" w:themeColor="text1"/>
                <w:kern w:val="0"/>
                <w:szCs w:val="32"/>
              </w:rPr>
              <w:t>金融科技创新监管试点政策，激发金融科技创新活力。</w:t>
            </w:r>
          </w:p>
        </w:tc>
      </w:tr>
    </w:tbl>
    <w:p w:rsidR="00CE1A11" w:rsidRDefault="003B6665" w:rsidP="001519D4">
      <w:pPr>
        <w:pStyle w:val="2"/>
        <w:numPr>
          <w:ilvl w:val="0"/>
          <w:numId w:val="0"/>
        </w:numPr>
        <w:adjustRightInd w:val="0"/>
        <w:snapToGrid w:val="0"/>
        <w:spacing w:beforeLines="50"/>
        <w:ind w:firstLineChars="200" w:firstLine="643"/>
        <w:jc w:val="both"/>
        <w:rPr>
          <w:rFonts w:ascii="仿宋_GB2312" w:eastAsia="仿宋_GB2312" w:hAnsi="仿宋_GB2312" w:cs="仿宋_GB2312" w:hint="default"/>
          <w:b/>
          <w:bCs/>
          <w:color w:val="000000" w:themeColor="text1"/>
        </w:rPr>
      </w:pPr>
      <w:bookmarkStart w:id="67" w:name="_Toc1348976224"/>
      <w:bookmarkStart w:id="68" w:name="_Toc1458141497"/>
      <w:bookmarkStart w:id="69" w:name="_Toc102423771"/>
      <w:r>
        <w:rPr>
          <w:rFonts w:ascii="楷体_GB2312" w:eastAsia="楷体_GB2312" w:hAnsi="楷体_GB2312" w:cs="楷体_GB2312"/>
          <w:b/>
          <w:bCs/>
          <w:color w:val="000000" w:themeColor="text1"/>
        </w:rPr>
        <w:lastRenderedPageBreak/>
        <w:t>（三）软件信息和科技服务</w:t>
      </w:r>
      <w:bookmarkEnd w:id="63"/>
      <w:bookmarkEnd w:id="67"/>
      <w:bookmarkEnd w:id="68"/>
      <w:bookmarkEnd w:id="69"/>
    </w:p>
    <w:p w:rsidR="00CE1A11" w:rsidRDefault="003B6665">
      <w:pPr>
        <w:adjustRightInd w:val="0"/>
        <w:snapToGrid w:val="0"/>
        <w:spacing w:after="0" w:line="600" w:lineRule="exact"/>
        <w:ind w:firstLineChars="200" w:firstLine="640"/>
        <w:rPr>
          <w:rFonts w:ascii="仿宋_GB2312" w:eastAsia="仿宋_GB2312" w:hAnsi="仿宋_GB2312" w:cs="仿宋_GB2312"/>
          <w:bCs/>
          <w:color w:val="000000" w:themeColor="text1"/>
          <w:szCs w:val="32"/>
        </w:rPr>
      </w:pPr>
      <w:r>
        <w:rPr>
          <w:rFonts w:ascii="仿宋_GB2312" w:eastAsia="仿宋_GB2312" w:hAnsi="仿宋_GB2312" w:cs="仿宋_GB2312" w:hint="eastAsia"/>
          <w:bCs/>
          <w:color w:val="000000" w:themeColor="text1"/>
          <w:szCs w:val="32"/>
        </w:rPr>
        <w:t>到2025年，软件信息服务业实现跨越式增长，产业链自主可控能力显著提升，产业生态体系建设逐步完善，龙头企业实力和产业影响力进一步加强，厦门“中国软件特色名城”发展步入全新阶段。科技发展水平、科技创新能力显著提升，培育一批科技服务行业龙头企业，拥有一批著名科技产品品牌，科技服务对经济高质量发展的支撑能力显著提升。</w:t>
      </w:r>
    </w:p>
    <w:p w:rsidR="00CE1A11" w:rsidRDefault="003B6665" w:rsidP="001519D4">
      <w:pPr>
        <w:pStyle w:val="BodyTextIndent21"/>
        <w:adjustRightInd w:val="0"/>
        <w:spacing w:afterLines="50" w:line="600" w:lineRule="exact"/>
        <w:ind w:leftChars="0" w:left="0" w:firstLineChars="200" w:firstLine="643"/>
        <w:rPr>
          <w:rFonts w:eastAsia="仿宋_GB2312"/>
          <w:color w:val="000000" w:themeColor="text1"/>
        </w:rPr>
      </w:pPr>
      <w:r>
        <w:rPr>
          <w:rFonts w:ascii="仿宋_GB2312" w:eastAsia="仿宋_GB2312" w:hAnsi="仿宋_GB2312" w:cs="仿宋_GB2312" w:hint="eastAsia"/>
          <w:b/>
          <w:color w:val="000000" w:themeColor="text1"/>
          <w:szCs w:val="32"/>
        </w:rPr>
        <w:t>1.行业应用软件。</w:t>
      </w:r>
      <w:r>
        <w:rPr>
          <w:rFonts w:ascii="仿宋_GB2312" w:eastAsia="仿宋_GB2312" w:hAnsi="仿宋_GB2312" w:cs="仿宋_GB2312" w:hint="eastAsia"/>
          <w:bCs/>
          <w:color w:val="000000" w:themeColor="text1"/>
          <w:szCs w:val="32"/>
        </w:rPr>
        <w:t>围绕数字厦门建设需求，面向金融、交通、物流、教育、文旅、人力资源等重点领域，加快研发一批行业通用软件和服务解决方案。加快应用软件SaaS（软件即服务）化发展，推动软件部署方式从本地向云端转变。鼓励有条件的头部企业以自建或联建的方式打造软件通用开发平台，面向下游中小型企业、相关行业企业开放开发工具包、基础框架、应用数据集等相关组件与能力，全面赋能各行业数字化转型发展。加快发展工业软件，集成开发面向研发设计、生产控制、经营管理等生产环节的应用软件。围绕垂直领域突破一批优质工业APP，加强面向中小企业的工业互联网应用服务发展。加快相关领域网络安全软件研发。</w:t>
      </w:r>
    </w:p>
    <w:p w:rsidR="00CE1A11" w:rsidRDefault="003B6665">
      <w:pPr>
        <w:adjustRightInd w:val="0"/>
        <w:snapToGrid w:val="0"/>
        <w:spacing w:after="0" w:line="600" w:lineRule="exact"/>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t>专栏11：元宇宙发展行动计划</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65"/>
      </w:tblGrid>
      <w:tr w:rsidR="00CE1A11">
        <w:trPr>
          <w:jc w:val="center"/>
        </w:trPr>
        <w:tc>
          <w:tcPr>
            <w:tcW w:w="8565" w:type="dxa"/>
            <w:tcBorders>
              <w:top w:val="single" w:sz="4" w:space="0" w:color="auto"/>
              <w:left w:val="single" w:sz="4" w:space="0" w:color="auto"/>
              <w:bottom w:val="single" w:sz="4" w:space="0" w:color="auto"/>
              <w:right w:val="single" w:sz="4" w:space="0" w:color="auto"/>
            </w:tcBorders>
          </w:tcPr>
          <w:p w:rsidR="00CE1A11" w:rsidRDefault="003B6665" w:rsidP="008D767D">
            <w:pPr>
              <w:adjustRightInd w:val="0"/>
              <w:spacing w:after="0" w:line="600" w:lineRule="exact"/>
              <w:ind w:firstLineChars="200" w:firstLine="643"/>
              <w:rPr>
                <w:rFonts w:ascii="仿宋_GB2312" w:eastAsia="仿宋_GB2312" w:hAnsi="仿宋_GB2312" w:cs="仿宋_GB2312"/>
                <w:bCs/>
                <w:color w:val="000000" w:themeColor="text1"/>
                <w:szCs w:val="32"/>
              </w:rPr>
            </w:pPr>
            <w:r>
              <w:rPr>
                <w:rFonts w:ascii="仿宋_GB2312" w:eastAsia="仿宋_GB2312" w:hAnsi="Times New Roman" w:cs="仿宋_GB2312" w:hint="eastAsia"/>
                <w:b/>
                <w:bCs/>
                <w:color w:val="000000" w:themeColor="text1"/>
                <w:kern w:val="0"/>
                <w:szCs w:val="32"/>
              </w:rPr>
              <w:t>创新载体建设：</w:t>
            </w:r>
            <w:r>
              <w:rPr>
                <w:rFonts w:ascii="仿宋_GB2312" w:eastAsia="仿宋_GB2312" w:hAnsi="仿宋_GB2312" w:cs="仿宋_GB2312" w:hint="eastAsia"/>
                <w:bCs/>
                <w:color w:val="000000" w:themeColor="text1"/>
                <w:szCs w:val="32"/>
              </w:rPr>
              <w:t>抢抓元宇宙发展机遇，推进元宇宙重点领域技术攻关，建设元宇宙领域重点实验室、工程研究中心、企业技术中心等创新载体。</w:t>
            </w:r>
          </w:p>
          <w:p w:rsidR="00CE1A11" w:rsidRDefault="003B6665" w:rsidP="008D767D">
            <w:pPr>
              <w:adjustRightInd w:val="0"/>
              <w:spacing w:after="0" w:line="600" w:lineRule="exact"/>
              <w:ind w:firstLineChars="200" w:firstLine="643"/>
              <w:rPr>
                <w:rFonts w:ascii="仿宋_GB2312" w:eastAsia="仿宋_GB2312" w:hAnsi="仿宋_GB2312" w:cs="仿宋_GB2312"/>
                <w:bCs/>
                <w:color w:val="000000" w:themeColor="text1"/>
                <w:szCs w:val="32"/>
              </w:rPr>
            </w:pPr>
            <w:r>
              <w:rPr>
                <w:rFonts w:ascii="仿宋_GB2312" w:eastAsia="仿宋_GB2312" w:hAnsi="Times New Roman" w:cs="仿宋_GB2312" w:hint="eastAsia"/>
                <w:b/>
                <w:bCs/>
                <w:color w:val="000000" w:themeColor="text1"/>
                <w:kern w:val="0"/>
                <w:szCs w:val="32"/>
              </w:rPr>
              <w:lastRenderedPageBreak/>
              <w:t>重点突破技术：</w:t>
            </w:r>
            <w:r>
              <w:rPr>
                <w:rFonts w:ascii="仿宋_GB2312" w:eastAsia="仿宋_GB2312" w:hAnsi="仿宋_GB2312" w:cs="仿宋_GB2312" w:hint="eastAsia"/>
                <w:bCs/>
                <w:color w:val="000000" w:themeColor="text1"/>
                <w:szCs w:val="32"/>
              </w:rPr>
              <w:t>重点突破 VR/AR/MR（虚拟现实/增强现实/混合现实）、全息成像、裸眼三维图形显示、交互娱乐引擎开发、资源数字化处理等元宇宙基础核心技术，推动外接式头盔、立体眼镜等 XR（扩展现实）终端设备发展。</w:t>
            </w:r>
          </w:p>
          <w:p w:rsidR="00CE1A11" w:rsidRDefault="003B6665" w:rsidP="008D767D">
            <w:pPr>
              <w:adjustRightInd w:val="0"/>
              <w:spacing w:after="0" w:line="600" w:lineRule="exact"/>
              <w:ind w:firstLineChars="200" w:firstLine="643"/>
              <w:rPr>
                <w:rFonts w:ascii="仿宋_GB2312" w:eastAsia="仿宋_GB2312" w:hAnsi="仿宋_GB2312" w:cs="仿宋_GB2312"/>
                <w:bCs/>
                <w:color w:val="000000" w:themeColor="text1"/>
                <w:szCs w:val="32"/>
              </w:rPr>
            </w:pPr>
            <w:r>
              <w:rPr>
                <w:rFonts w:ascii="仿宋_GB2312" w:eastAsia="仿宋_GB2312" w:hAnsi="Times New Roman" w:cs="仿宋_GB2312" w:hint="eastAsia"/>
                <w:b/>
                <w:bCs/>
                <w:color w:val="000000" w:themeColor="text1"/>
                <w:kern w:val="0"/>
                <w:szCs w:val="32"/>
              </w:rPr>
              <w:t>丰富产品内容：</w:t>
            </w:r>
            <w:r>
              <w:rPr>
                <w:rFonts w:ascii="仿宋_GB2312" w:eastAsia="仿宋_GB2312" w:hAnsi="仿宋_GB2312" w:cs="仿宋_GB2312" w:hint="eastAsia"/>
                <w:bCs/>
                <w:color w:val="000000" w:themeColor="text1"/>
                <w:szCs w:val="32"/>
              </w:rPr>
              <w:t>推进系统化的虚拟内容建设，不断丰富交互媒体、互动电影、虚拟表演、虚拟NPC（非玩家角色）等元宇宙领域数字内容供给。</w:t>
            </w:r>
          </w:p>
          <w:p w:rsidR="00CE1A11" w:rsidRDefault="003B6665" w:rsidP="008D767D">
            <w:pPr>
              <w:adjustRightInd w:val="0"/>
              <w:spacing w:after="0" w:line="600" w:lineRule="exact"/>
              <w:ind w:firstLineChars="200" w:firstLine="643"/>
              <w:rPr>
                <w:rFonts w:ascii="仿宋_GB2312" w:eastAsia="仿宋_GB2312" w:hAnsi="Times New Roman" w:cs="仿宋_GB2312"/>
                <w:bCs/>
                <w:color w:val="000000" w:themeColor="text1"/>
                <w:kern w:val="0"/>
                <w:szCs w:val="32"/>
              </w:rPr>
            </w:pPr>
            <w:r>
              <w:rPr>
                <w:rFonts w:ascii="仿宋_GB2312" w:eastAsia="仿宋_GB2312" w:hAnsi="Times New Roman" w:cs="仿宋_GB2312" w:hint="eastAsia"/>
                <w:b/>
                <w:bCs/>
                <w:color w:val="000000" w:themeColor="text1"/>
                <w:kern w:val="0"/>
                <w:szCs w:val="32"/>
              </w:rPr>
              <w:t>拓展应用场景：</w:t>
            </w:r>
            <w:r>
              <w:rPr>
                <w:rFonts w:ascii="仿宋_GB2312" w:eastAsia="仿宋_GB2312" w:hAnsi="仿宋_GB2312" w:cs="仿宋_GB2312" w:hint="eastAsia"/>
                <w:bCs/>
                <w:color w:val="000000" w:themeColor="text1"/>
                <w:szCs w:val="32"/>
              </w:rPr>
              <w:t>开发元宇宙特色应用场景，推动三维数字空间、虚拟数字人在城市管理、民生服务等领域应用。</w:t>
            </w:r>
          </w:p>
        </w:tc>
      </w:tr>
    </w:tbl>
    <w:p w:rsidR="00CE1A11" w:rsidRDefault="003B6665" w:rsidP="001519D4">
      <w:pPr>
        <w:pStyle w:val="BodyTextIndent21"/>
        <w:adjustRightInd w:val="0"/>
        <w:spacing w:beforeLines="50" w:after="0" w:line="600" w:lineRule="exact"/>
        <w:ind w:leftChars="0" w:left="0" w:firstLineChars="200" w:firstLine="643"/>
        <w:rPr>
          <w:rFonts w:ascii="仿宋_GB2312" w:eastAsia="仿宋_GB2312" w:hAnsi="仿宋_GB2312" w:cs="仿宋_GB2312"/>
          <w:bCs/>
          <w:color w:val="000000" w:themeColor="text1"/>
          <w:szCs w:val="32"/>
        </w:rPr>
      </w:pPr>
      <w:r>
        <w:rPr>
          <w:rFonts w:ascii="仿宋_GB2312" w:eastAsia="仿宋_GB2312" w:hAnsi="仿宋_GB2312" w:cs="仿宋_GB2312" w:hint="eastAsia"/>
          <w:b/>
          <w:color w:val="000000" w:themeColor="text1"/>
          <w:szCs w:val="32"/>
        </w:rPr>
        <w:lastRenderedPageBreak/>
        <w:t>2.互联网平台和大数据服务。</w:t>
      </w:r>
      <w:r>
        <w:rPr>
          <w:rFonts w:ascii="仿宋_GB2312" w:eastAsia="仿宋_GB2312" w:hAnsi="仿宋_GB2312" w:cs="仿宋_GB2312" w:hint="eastAsia"/>
          <w:bCs/>
          <w:color w:val="000000" w:themeColor="text1"/>
          <w:szCs w:val="32"/>
        </w:rPr>
        <w:t>鼓励平台企业深耕餐饮、住宿、旅游等细分领域，拓展“互联网+”消费场景，提供高质量产品和服务。鼓励家装、食品、服装、出行等领域企业与互联网企业共建在线服务平台，不断丰富线上服务供给模式。支持企业围绕健康管理、知识科普、社区交流、线上购物等个体用户需求，开发一批移动互联网平台，不断激发市场活力。建立健全数据要素流通规则，加快数据要素市场培育，推进数据资源“聚通用”，提升社会数据资源价值。培育数据即服务的新模式和新业态，面向工业、医疗等领域培育一批成熟、可靠的大数据解决方案，不断深化大数据应用效能。</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bCs/>
          <w:color w:val="000000" w:themeColor="text1"/>
          <w:szCs w:val="32"/>
        </w:rPr>
      </w:pPr>
      <w:r>
        <w:rPr>
          <w:rFonts w:ascii="仿宋_GB2312" w:eastAsia="仿宋_GB2312" w:hAnsi="仿宋_GB2312" w:cs="仿宋_GB2312" w:hint="eastAsia"/>
          <w:b/>
          <w:color w:val="000000" w:themeColor="text1"/>
          <w:szCs w:val="32"/>
        </w:rPr>
        <w:t>3.游戏电竞。</w:t>
      </w:r>
      <w:r>
        <w:rPr>
          <w:rFonts w:ascii="仿宋_GB2312" w:eastAsia="仿宋_GB2312" w:hAnsi="仿宋_GB2312" w:cs="仿宋_GB2312" w:hint="eastAsia"/>
          <w:bCs/>
          <w:color w:val="000000" w:themeColor="text1"/>
          <w:szCs w:val="32"/>
        </w:rPr>
        <w:t>加快游戏引擎、开发框架、模型渲染等关键技术环节的研发创新，加大游戏领域的知识产权和商标保护力度。进一步加快单机游戏、网游、手游等多终端、多形态游戏业务发</w:t>
      </w:r>
      <w:r>
        <w:rPr>
          <w:rFonts w:ascii="仿宋_GB2312" w:eastAsia="仿宋_GB2312" w:hAnsi="仿宋_GB2312" w:cs="仿宋_GB2312" w:hint="eastAsia"/>
          <w:bCs/>
          <w:color w:val="000000" w:themeColor="text1"/>
          <w:szCs w:val="32"/>
        </w:rPr>
        <w:lastRenderedPageBreak/>
        <w:t>展，鼓励立足中国传统文化主题，突破一批国产精品游戏。加强特效设计、动画制作、配光校色、音效合成等数字内容生成与处理软件研发，构建全流程的支撑体系。全链条布局电竞产业，积极引入和培育优质电竞企业、电竞俱乐部、电竞赛事活动，支持建设电竞产业园，推动设立电竞相关职业培训机构，培养高水平电子竞技选手、电竞战队教练、电竞数据分析和电竞运营管理等人才。</w:t>
      </w:r>
    </w:p>
    <w:p w:rsidR="00CE1A11" w:rsidRDefault="003B6665" w:rsidP="001519D4">
      <w:pPr>
        <w:adjustRightInd w:val="0"/>
        <w:spacing w:afterLines="5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color w:val="000000" w:themeColor="text1"/>
          <w:szCs w:val="32"/>
        </w:rPr>
        <w:t>4.科技服务。</w:t>
      </w:r>
      <w:r>
        <w:rPr>
          <w:rFonts w:ascii="仿宋_GB2312" w:eastAsia="仿宋_GB2312" w:hAnsi="仿宋_GB2312" w:cs="仿宋_GB2312" w:hint="eastAsia"/>
          <w:bCs/>
          <w:color w:val="000000" w:themeColor="text1"/>
          <w:szCs w:val="32"/>
        </w:rPr>
        <w:t>加快发展研发设计服务。推动研发设计向工艺流程、服务模式等全生命周期设计升级。提升集成电路设计、工业设计、时尚设计等关键领域研发设计能力，进一步提高设计与产业的融合度。鼓励发展检验检测服务。在生物医药、医疗器械、半导体和集成电路、新能源汽车、智能硬件、信息技术等领域引进和建设一批检验检测公共技术服务平台与重点实验室，争创国家检验检测认证公共服务平台示范区。加快推动科技成果转化。</w:t>
      </w:r>
      <w:r>
        <w:rPr>
          <w:rFonts w:ascii="仿宋_GB2312" w:eastAsia="仿宋_GB2312" w:hAnsi="仿宋_GB2312" w:cs="仿宋_GB2312" w:hint="eastAsia"/>
          <w:color w:val="000000" w:themeColor="text1"/>
          <w:szCs w:val="32"/>
        </w:rPr>
        <w:t>吸引国内外知名高校院所、企业、科技服务机构来厦设立产学研协同创新中心、技术转移中心和技术转移服务机构，持续推进国家科技成果转化服务（厦门）示范基地建设。加快建设中国技术交易所厦门“21世纪海上丝绸之路”科技服务中心、国家技术转移人才培养基地。提升知识产权服务能级。深入推进厦门知识产权运营公共服务平台建设。充分发挥厦门知识产权法庭、知识产权司法协同中心和知识产权仲裁院作用，畅通知识产权纠纷多元化解决机制，提升司法保护效果。鼓励知识产权服务机构开展分析评议、评估交易、专利导航、首次公开募股（IPO）咨询、</w:t>
      </w:r>
      <w:r>
        <w:rPr>
          <w:rFonts w:ascii="仿宋_GB2312" w:eastAsia="仿宋_GB2312" w:hAnsi="仿宋_GB2312" w:cs="仿宋_GB2312" w:hint="eastAsia"/>
          <w:color w:val="000000" w:themeColor="text1"/>
          <w:szCs w:val="32"/>
        </w:rPr>
        <w:lastRenderedPageBreak/>
        <w:t>风险预警等多元化、高水平市场化服务。</w:t>
      </w:r>
    </w:p>
    <w:p w:rsidR="00CE1A11" w:rsidRDefault="003B6665">
      <w:pPr>
        <w:adjustRightInd w:val="0"/>
        <w:snapToGrid w:val="0"/>
        <w:spacing w:after="0" w:line="600" w:lineRule="exact"/>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t>专栏12：高价值知识产权培育工程</w:t>
      </w:r>
    </w:p>
    <w:tbl>
      <w:tblPr>
        <w:tblStyle w:val="af1"/>
        <w:tblW w:w="8522" w:type="dxa"/>
        <w:jc w:val="center"/>
        <w:tblLayout w:type="fixed"/>
        <w:tblLook w:val="04A0"/>
      </w:tblPr>
      <w:tblGrid>
        <w:gridCol w:w="8522"/>
      </w:tblGrid>
      <w:tr w:rsidR="00CE1A11">
        <w:trPr>
          <w:jc w:val="center"/>
        </w:trPr>
        <w:tc>
          <w:tcPr>
            <w:tcW w:w="8522" w:type="dxa"/>
          </w:tcPr>
          <w:p w:rsidR="00CE1A11" w:rsidRDefault="003B6665" w:rsidP="008D767D">
            <w:pPr>
              <w:adjustRightInd w:val="0"/>
              <w:spacing w:after="0" w:line="600" w:lineRule="exact"/>
              <w:ind w:firstLineChars="200" w:firstLine="643"/>
              <w:rPr>
                <w:rFonts w:ascii="仿宋_GB2312" w:eastAsia="仿宋_GB2312" w:hAnsi="Times New Roman" w:cs="仿宋_GB2312"/>
                <w:color w:val="000000" w:themeColor="text1"/>
                <w:kern w:val="0"/>
                <w:szCs w:val="32"/>
              </w:rPr>
            </w:pPr>
            <w:r>
              <w:rPr>
                <w:rFonts w:ascii="仿宋_GB2312" w:eastAsia="仿宋_GB2312" w:hAnsi="Times New Roman" w:cs="仿宋_GB2312" w:hint="eastAsia"/>
                <w:b/>
                <w:bCs/>
                <w:color w:val="000000" w:themeColor="text1"/>
                <w:kern w:val="0"/>
                <w:szCs w:val="32"/>
              </w:rPr>
              <w:t>培育高价值专利组合。</w:t>
            </w:r>
            <w:r>
              <w:rPr>
                <w:rFonts w:ascii="仿宋_GB2312" w:eastAsia="仿宋_GB2312" w:hAnsi="Times New Roman" w:cs="仿宋_GB2312" w:hint="eastAsia"/>
                <w:color w:val="000000" w:themeColor="text1"/>
                <w:kern w:val="0"/>
                <w:szCs w:val="32"/>
              </w:rPr>
              <w:t>鼓励创新主体持续开展高价值专利组合培育，建立协调顺畅、组织有力的培育管理体系及权益分配模式，深化专利竞争态势分析，加强专利技术前瞻性布局，强化研发过程专利管理，建立专利申请预审机制，提升专利申请文件撰写质量，加强专利申请后期跟踪确权，生成结构优良、布局合理、对促进产业发展和提升国际竞争力具有支撑保障作用的高价值专利组合或专利池。</w:t>
            </w:r>
          </w:p>
          <w:p w:rsidR="00CE1A11" w:rsidRDefault="003B6665" w:rsidP="008D767D">
            <w:pPr>
              <w:adjustRightInd w:val="0"/>
              <w:spacing w:after="0" w:line="600" w:lineRule="exact"/>
              <w:ind w:firstLineChars="200" w:firstLine="643"/>
              <w:rPr>
                <w:rFonts w:ascii="仿宋_GB2312" w:eastAsia="仿宋_GB2312" w:hAnsi="Times New Roman" w:cs="仿宋_GB2312"/>
                <w:color w:val="000000" w:themeColor="text1"/>
                <w:kern w:val="0"/>
                <w:szCs w:val="32"/>
              </w:rPr>
            </w:pPr>
            <w:r>
              <w:rPr>
                <w:rFonts w:ascii="仿宋_GB2312" w:eastAsia="仿宋_GB2312" w:hAnsi="Times New Roman" w:cs="仿宋_GB2312" w:hint="eastAsia"/>
                <w:b/>
                <w:bCs/>
                <w:color w:val="000000" w:themeColor="text1"/>
                <w:kern w:val="0"/>
                <w:szCs w:val="32"/>
              </w:rPr>
              <w:t>培育知名商标品牌。</w:t>
            </w:r>
            <w:r>
              <w:rPr>
                <w:rFonts w:ascii="仿宋_GB2312" w:eastAsia="仿宋_GB2312" w:hAnsi="Times New Roman" w:cs="仿宋_GB2312" w:hint="eastAsia"/>
                <w:color w:val="000000" w:themeColor="text1"/>
                <w:kern w:val="0"/>
                <w:szCs w:val="32"/>
              </w:rPr>
              <w:t>鼓励企业开展品牌收购并购，提升品牌市场占有率。支持区域公共品牌做大做强，培育特色区域公共品牌。鼓励厦门企业深耕“一带一路”“金砖+”国家或地区市场，积极注册国际商标。支持以集体商标方式打造“厦门优秀外观设计”公共品牌。</w:t>
            </w:r>
          </w:p>
          <w:p w:rsidR="00CE1A11" w:rsidRDefault="003B6665" w:rsidP="008D767D">
            <w:pPr>
              <w:adjustRightInd w:val="0"/>
              <w:spacing w:after="0" w:line="600" w:lineRule="exact"/>
              <w:ind w:firstLineChars="200" w:firstLine="643"/>
              <w:rPr>
                <w:rFonts w:ascii="仿宋_GB2312" w:eastAsia="仿宋_GB2312" w:hAnsi="Times New Roman" w:cs="仿宋_GB2312"/>
                <w:color w:val="000000" w:themeColor="text1"/>
                <w:kern w:val="0"/>
                <w:szCs w:val="32"/>
              </w:rPr>
            </w:pPr>
            <w:r>
              <w:rPr>
                <w:rFonts w:ascii="仿宋_GB2312" w:eastAsia="仿宋_GB2312" w:hAnsi="Times New Roman" w:cs="仿宋_GB2312" w:hint="eastAsia"/>
                <w:b/>
                <w:bCs/>
                <w:color w:val="000000" w:themeColor="text1"/>
                <w:kern w:val="0"/>
                <w:szCs w:val="32"/>
              </w:rPr>
              <w:t>培育特色地理标志。</w:t>
            </w:r>
            <w:r>
              <w:rPr>
                <w:rFonts w:ascii="仿宋_GB2312" w:eastAsia="仿宋_GB2312" w:hAnsi="Times New Roman" w:cs="仿宋_GB2312" w:hint="eastAsia"/>
                <w:color w:val="000000" w:themeColor="text1"/>
                <w:kern w:val="0"/>
                <w:szCs w:val="32"/>
              </w:rPr>
              <w:t>支持岛外各区等打造一批特色鲜明、优势聚集、带动能力强的特色地理标志，推动农业产业集群发展，发展区域特色经济，助力乡村振兴。</w:t>
            </w:r>
          </w:p>
          <w:p w:rsidR="00CE1A11" w:rsidRDefault="003B6665" w:rsidP="008D767D">
            <w:pPr>
              <w:adjustRightInd w:val="0"/>
              <w:spacing w:after="0" w:line="600" w:lineRule="exact"/>
              <w:ind w:firstLineChars="200" w:firstLine="643"/>
              <w:rPr>
                <w:rFonts w:ascii="仿宋_GB2312" w:eastAsia="仿宋_GB2312" w:hAnsi="仿宋_GB2312" w:cs="仿宋_GB2312"/>
                <w:b/>
                <w:bCs/>
                <w:color w:val="000000" w:themeColor="text1"/>
                <w:szCs w:val="32"/>
              </w:rPr>
            </w:pPr>
            <w:r>
              <w:rPr>
                <w:rFonts w:ascii="仿宋_GB2312" w:eastAsia="仿宋_GB2312" w:hAnsi="Times New Roman" w:cs="仿宋_GB2312" w:hint="eastAsia"/>
                <w:b/>
                <w:bCs/>
                <w:color w:val="000000" w:themeColor="text1"/>
                <w:kern w:val="0"/>
                <w:szCs w:val="32"/>
              </w:rPr>
              <w:t>打造特色精品版权。</w:t>
            </w:r>
            <w:r>
              <w:rPr>
                <w:rFonts w:ascii="仿宋_GB2312" w:eastAsia="仿宋_GB2312" w:hAnsi="Times New Roman" w:cs="仿宋_GB2312" w:hint="eastAsia"/>
                <w:color w:val="000000" w:themeColor="text1"/>
                <w:kern w:val="0"/>
                <w:szCs w:val="32"/>
              </w:rPr>
              <w:t>增强版权的创造、运用和保护能力，在视听产业、软件、文化艺术、新闻出版等领域打造具有本地特色的精品版权，大力发展文化创意经济。</w:t>
            </w:r>
          </w:p>
        </w:tc>
      </w:tr>
    </w:tbl>
    <w:p w:rsidR="00CE1A11" w:rsidRDefault="003B6665" w:rsidP="001519D4">
      <w:pPr>
        <w:pStyle w:val="2"/>
        <w:numPr>
          <w:ilvl w:val="0"/>
          <w:numId w:val="0"/>
        </w:numPr>
        <w:adjustRightInd w:val="0"/>
        <w:snapToGrid w:val="0"/>
        <w:spacing w:beforeLines="50"/>
        <w:ind w:firstLineChars="200" w:firstLine="643"/>
        <w:jc w:val="both"/>
        <w:rPr>
          <w:rFonts w:ascii="仿宋_GB2312" w:eastAsia="楷体_GB2312" w:hAnsi="仿宋_GB2312" w:cs="仿宋_GB2312" w:hint="default"/>
          <w:b/>
          <w:bCs/>
          <w:color w:val="000000" w:themeColor="text1"/>
        </w:rPr>
      </w:pPr>
      <w:bookmarkStart w:id="70" w:name="_Toc102423772"/>
      <w:bookmarkStart w:id="71" w:name="_Toc74083633"/>
      <w:bookmarkStart w:id="72" w:name="_Toc97029424"/>
      <w:bookmarkStart w:id="73" w:name="_Toc727622642"/>
      <w:r>
        <w:rPr>
          <w:rFonts w:ascii="楷体_GB2312" w:eastAsia="楷体_GB2312" w:hAnsi="楷体_GB2312" w:cs="楷体_GB2312"/>
          <w:b/>
          <w:bCs/>
          <w:color w:val="000000" w:themeColor="text1"/>
        </w:rPr>
        <w:t>（四）</w:t>
      </w:r>
      <w:bookmarkEnd w:id="70"/>
      <w:bookmarkEnd w:id="71"/>
      <w:bookmarkEnd w:id="72"/>
      <w:bookmarkEnd w:id="73"/>
      <w:r>
        <w:rPr>
          <w:rFonts w:ascii="楷体_GB2312" w:eastAsia="楷体_GB2312" w:hAnsi="楷体_GB2312" w:cs="楷体_GB2312"/>
          <w:b/>
          <w:bCs/>
          <w:color w:val="000000" w:themeColor="text1"/>
        </w:rPr>
        <w:t>文旅创意</w:t>
      </w:r>
    </w:p>
    <w:p w:rsidR="00CE1A11" w:rsidRDefault="003B6665">
      <w:pPr>
        <w:adjustRightInd w:val="0"/>
        <w:snapToGrid w:val="0"/>
        <w:spacing w:after="0" w:line="600" w:lineRule="exact"/>
        <w:ind w:firstLineChars="200" w:firstLine="640"/>
        <w:rPr>
          <w:rFonts w:ascii="仿宋_GB2312" w:eastAsia="仿宋_GB2312" w:hAnsi="仿宋_GB2312" w:cs="仿宋_GB2312"/>
          <w:b/>
          <w:bCs/>
          <w:color w:val="000000" w:themeColor="text1"/>
          <w:szCs w:val="32"/>
        </w:rPr>
      </w:pPr>
      <w:r>
        <w:rPr>
          <w:rFonts w:ascii="仿宋_GB2312" w:eastAsia="仿宋_GB2312" w:hAnsi="仿宋_GB2312" w:cs="仿宋_GB2312" w:hint="eastAsia"/>
          <w:color w:val="000000" w:themeColor="text1"/>
          <w:szCs w:val="32"/>
        </w:rPr>
        <w:t>至2025年，文化创意收入超过2500亿元，旅游收入超过</w:t>
      </w:r>
      <w:r>
        <w:rPr>
          <w:rFonts w:ascii="仿宋_GB2312" w:eastAsia="仿宋_GB2312" w:hAnsi="仿宋_GB2312" w:cs="仿宋_GB2312" w:hint="eastAsia"/>
          <w:color w:val="000000" w:themeColor="text1"/>
          <w:szCs w:val="32"/>
        </w:rPr>
        <w:lastRenderedPageBreak/>
        <w:t>2000亿元，全面促进厦门文化创意和旅游产业国际化、高端化、精品化、智慧化，力争将厦门建成高品位国际滨海花园旅游城市和新兴文化产业强市。</w:t>
      </w:r>
    </w:p>
    <w:p w:rsidR="00CE1A11" w:rsidRDefault="003B6665" w:rsidP="001519D4">
      <w:pPr>
        <w:adjustRightInd w:val="0"/>
        <w:snapToGrid w:val="0"/>
        <w:spacing w:afterLines="50" w:line="600" w:lineRule="exact"/>
        <w:ind w:firstLineChars="200" w:firstLine="643"/>
        <w:rPr>
          <w:rFonts w:ascii="楷体_GB2312" w:eastAsia="楷体_GB2312" w:hAnsi="楷体_GB2312" w:cs="楷体_GB2312"/>
          <w:b/>
          <w:bCs/>
          <w:color w:val="000000" w:themeColor="text1"/>
          <w:szCs w:val="32"/>
        </w:rPr>
      </w:pPr>
      <w:r>
        <w:rPr>
          <w:rFonts w:ascii="仿宋_GB2312" w:eastAsia="仿宋_GB2312" w:hAnsi="仿宋_GB2312" w:cs="仿宋_GB2312" w:hint="eastAsia"/>
          <w:b/>
          <w:bCs/>
          <w:color w:val="000000" w:themeColor="text1"/>
          <w:szCs w:val="32"/>
        </w:rPr>
        <w:t>1.文化创意。</w:t>
      </w:r>
      <w:r>
        <w:rPr>
          <w:rFonts w:ascii="仿宋_GB2312" w:eastAsia="仿宋_GB2312" w:hAnsi="仿宋_GB2312" w:cs="仿宋_GB2312" w:hint="eastAsia"/>
          <w:color w:val="000000" w:themeColor="text1"/>
          <w:szCs w:val="32"/>
        </w:rPr>
        <w:t>建设产业聚集区，提升海峡两岸龙山文创园、湖里创意产业园等文创园区配套服务功能。引进时尚设计、工业设计、建筑设计等知名企业和人才。培育一批具有规模效应和核心竞争力的龙头文创企业。办好厦门国际时尚周、“当代好设计”奖、国际动漫节、海峡工业设计大赛等。建设国家级文化和科技融合发展示范基地。打造国际艺术品交易中心，推动形成中高端相结合、境内外相贯通的艺术品交易市场。加快发展影视产业。聚焦影视节展、影视拍摄与制作、影城融合发展等重点环节，深化厦门影视拍摄基地建设，汇聚影视产业要素资源，加快影视全产业链生态布局。引进和打造大型实景演艺秀、特色闽南风情文化剧场等商业演艺项目，鼓励发展中小型、主题性、特色类、定制类文化旅游演艺精品项目。持续提升中国金鸡百花电影节品牌影响力，以电影节为中心,积极引进和培育具有国际知名度的新型影视节展品牌。打造中国（厦门）智能视听产业基地。</w:t>
      </w:r>
      <w:bookmarkStart w:id="74" w:name="_Toc1112237971_WPSOffice_Level2"/>
      <w:bookmarkStart w:id="75" w:name="_Toc980032033_WPSOffice_Level2"/>
      <w:bookmarkStart w:id="76" w:name="_Toc2044582055_WPSOffice_Level2"/>
    </w:p>
    <w:p w:rsidR="00CE1A11" w:rsidRDefault="003B6665">
      <w:pPr>
        <w:adjustRightInd w:val="0"/>
        <w:snapToGrid w:val="0"/>
        <w:spacing w:after="0" w:line="600" w:lineRule="exact"/>
        <w:jc w:val="center"/>
        <w:rPr>
          <w:rFonts w:ascii="楷体" w:eastAsia="楷体" w:hAnsi="楷体" w:cs="楷体"/>
          <w:b/>
          <w:bCs/>
          <w:color w:val="000000" w:themeColor="text1"/>
          <w:spacing w:val="-1"/>
          <w:szCs w:val="32"/>
        </w:rPr>
      </w:pPr>
      <w:r>
        <w:rPr>
          <w:rFonts w:ascii="楷体_GB2312" w:eastAsia="楷体_GB2312" w:hAnsi="楷体_GB2312" w:cs="楷体_GB2312" w:hint="eastAsia"/>
          <w:b/>
          <w:bCs/>
          <w:color w:val="000000" w:themeColor="text1"/>
          <w:szCs w:val="32"/>
        </w:rPr>
        <w:t>专栏13：创建国家对外文化贸易基地</w:t>
      </w:r>
      <w:bookmarkEnd w:id="74"/>
      <w:bookmarkEnd w:id="75"/>
      <w:bookmarkEnd w:id="76"/>
    </w:p>
    <w:tbl>
      <w:tblPr>
        <w:tblStyle w:val="af1"/>
        <w:tblW w:w="8522" w:type="dxa"/>
        <w:jc w:val="center"/>
        <w:tblLayout w:type="fixed"/>
        <w:tblLook w:val="04A0"/>
      </w:tblPr>
      <w:tblGrid>
        <w:gridCol w:w="8522"/>
      </w:tblGrid>
      <w:tr w:rsidR="00CE1A11">
        <w:trPr>
          <w:jc w:val="center"/>
        </w:trPr>
        <w:tc>
          <w:tcPr>
            <w:tcW w:w="8522" w:type="dxa"/>
          </w:tcPr>
          <w:p w:rsidR="00CE1A11" w:rsidRDefault="003B6665" w:rsidP="008D767D">
            <w:pPr>
              <w:adjustRightInd w:val="0"/>
              <w:spacing w:after="0" w:line="600" w:lineRule="exact"/>
              <w:ind w:firstLineChars="200" w:firstLine="643"/>
              <w:rPr>
                <w:rFonts w:ascii="仿宋_GB2312" w:eastAsia="仿宋_GB2312" w:hAnsi="Times New Roman" w:cs="仿宋_GB2312"/>
                <w:color w:val="000000" w:themeColor="text1"/>
                <w:kern w:val="0"/>
                <w:szCs w:val="32"/>
              </w:rPr>
            </w:pPr>
            <w:r>
              <w:rPr>
                <w:rFonts w:ascii="仿宋_GB2312" w:eastAsia="仿宋_GB2312" w:hAnsi="Times New Roman" w:cs="仿宋_GB2312" w:hint="eastAsia"/>
                <w:b/>
                <w:bCs/>
                <w:color w:val="000000" w:themeColor="text1"/>
                <w:kern w:val="0"/>
                <w:szCs w:val="32"/>
              </w:rPr>
              <w:t>培育对外文化贸易品牌。</w:t>
            </w:r>
            <w:r>
              <w:rPr>
                <w:rFonts w:ascii="仿宋_GB2312" w:eastAsia="仿宋_GB2312" w:hAnsi="Times New Roman" w:cs="仿宋_GB2312" w:hint="eastAsia"/>
                <w:color w:val="000000" w:themeColor="text1"/>
                <w:kern w:val="0"/>
                <w:szCs w:val="32"/>
              </w:rPr>
              <w:t>支持东南亚中国图书巡回展、艺术厦门国际博览会、艺术品保税服务平台等国际展示交易平台的建设。支持面向共建“一带一路”国家和地区输出高品质文化产品和服务，不断扩大动漫游戏内容开发与设计制</w:t>
            </w:r>
            <w:r>
              <w:rPr>
                <w:rFonts w:ascii="仿宋_GB2312" w:eastAsia="仿宋_GB2312" w:hAnsi="Times New Roman" w:cs="仿宋_GB2312" w:hint="eastAsia"/>
                <w:color w:val="000000" w:themeColor="text1"/>
                <w:kern w:val="0"/>
                <w:szCs w:val="32"/>
              </w:rPr>
              <w:lastRenderedPageBreak/>
              <w:t>作、影视演艺服务、出版发行服务、数字内容等服务出口。</w:t>
            </w:r>
          </w:p>
          <w:p w:rsidR="00CE1A11" w:rsidRDefault="003B6665" w:rsidP="008D767D">
            <w:pPr>
              <w:adjustRightInd w:val="0"/>
              <w:spacing w:after="0" w:line="600" w:lineRule="exact"/>
              <w:ind w:firstLineChars="200" w:firstLine="643"/>
              <w:rPr>
                <w:rFonts w:ascii="仿宋_GB2312" w:eastAsia="仿宋_GB2312" w:hAnsi="仿宋_GB2312" w:cs="仿宋_GB2312"/>
                <w:b/>
                <w:bCs/>
                <w:color w:val="000000" w:themeColor="text1"/>
                <w:szCs w:val="32"/>
              </w:rPr>
            </w:pPr>
            <w:r>
              <w:rPr>
                <w:rFonts w:ascii="仿宋_GB2312" w:eastAsia="仿宋_GB2312" w:hAnsi="Times New Roman" w:cs="仿宋_GB2312" w:hint="eastAsia"/>
                <w:b/>
                <w:bCs/>
                <w:color w:val="000000" w:themeColor="text1"/>
                <w:kern w:val="0"/>
                <w:szCs w:val="32"/>
              </w:rPr>
              <w:t>促进文化贸易政策创新。</w:t>
            </w:r>
            <w:r>
              <w:rPr>
                <w:rFonts w:ascii="仿宋_GB2312" w:eastAsia="仿宋_GB2312" w:hAnsi="Times New Roman" w:cs="仿宋_GB2312" w:hint="eastAsia"/>
                <w:color w:val="000000" w:themeColor="text1"/>
                <w:kern w:val="0"/>
                <w:szCs w:val="32"/>
              </w:rPr>
              <w:t>积极争取在自贸区探索艺术品进出口“一证多批”业务模式,鼓励文化企业在境外设立合资公司,开办本土化的海外专属频道。</w:t>
            </w:r>
          </w:p>
        </w:tc>
      </w:tr>
    </w:tbl>
    <w:p w:rsidR="00CE1A11" w:rsidRDefault="003B6665" w:rsidP="001519D4">
      <w:pPr>
        <w:adjustRightInd w:val="0"/>
        <w:snapToGrid w:val="0"/>
        <w:spacing w:beforeLines="50"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color w:val="000000" w:themeColor="text1"/>
          <w:szCs w:val="32"/>
        </w:rPr>
        <w:lastRenderedPageBreak/>
        <w:t>2.数字内容。</w:t>
      </w:r>
      <w:r>
        <w:rPr>
          <w:rFonts w:ascii="仿宋_GB2312" w:eastAsia="仿宋_GB2312" w:hAnsi="仿宋_GB2312" w:cs="仿宋_GB2312" w:hint="eastAsia"/>
          <w:bCs/>
          <w:color w:val="000000" w:themeColor="text1"/>
          <w:szCs w:val="32"/>
        </w:rPr>
        <w:t>积极布局4K/8K超高清视频、数字电影、直播与短视频、数字音乐、数字阅读等业务，持续拓宽内容创作边界。支持多频道网络（MCN）、自媒体、公众号等新媒体内容平台发展，不断拓展数字内容分发渠道，扩大优质作品的传播辐射范围。</w:t>
      </w:r>
    </w:p>
    <w:p w:rsidR="00CE1A11" w:rsidRDefault="003B6665" w:rsidP="001519D4">
      <w:pPr>
        <w:adjustRightInd w:val="0"/>
        <w:snapToGrid w:val="0"/>
        <w:spacing w:afterLines="50" w:line="600" w:lineRule="exact"/>
        <w:ind w:firstLineChars="200" w:firstLine="643"/>
        <w:rPr>
          <w:color w:val="000000" w:themeColor="text1"/>
        </w:rPr>
      </w:pPr>
      <w:r>
        <w:rPr>
          <w:rFonts w:ascii="仿宋_GB2312" w:eastAsia="仿宋_GB2312" w:hAnsi="仿宋_GB2312" w:cs="仿宋_GB2312" w:hint="eastAsia"/>
          <w:b/>
          <w:bCs/>
          <w:color w:val="000000" w:themeColor="text1"/>
          <w:szCs w:val="32"/>
        </w:rPr>
        <w:t>3.旅游服务。</w:t>
      </w:r>
      <w:r>
        <w:rPr>
          <w:rFonts w:ascii="仿宋_GB2312" w:eastAsia="仿宋_GB2312" w:hAnsi="仿宋_GB2312" w:cs="仿宋_GB2312" w:hint="eastAsia"/>
          <w:color w:val="000000" w:themeColor="text1"/>
          <w:szCs w:val="32"/>
        </w:rPr>
        <w:t>打造“海上花园·诗意厦门”国际旅游品牌，构建“一核、四区、多节点”的旅游发展空间格局，推动旅游产业高端化精品化发展。推进鼓浪屿“全岛博物馆计划”，打造世界文化遗产深度体验地，在马銮湾、丙洲等片区打造国际化高端滨海主题旅游区。丰富邮轮旅游产品，开发游艇、游船、帆船、休闲渔业等滨海旅游产品，提升海峡旅游博览会、国际游艇帆船展、海峡杯帆船赛等展会赛事影响力。培育夜间旅游消费，发展康养、研学等旅游新业态。推动成立厦金澎旅游联盟，打造连接厦金澎、闽西南的旅游线路。推进线上线下一体化的旅游公共服务平台建设。</w:t>
      </w:r>
    </w:p>
    <w:p w:rsidR="00CE1A11" w:rsidRDefault="003B6665">
      <w:pPr>
        <w:adjustRightInd w:val="0"/>
        <w:snapToGrid w:val="0"/>
        <w:spacing w:after="0" w:line="600" w:lineRule="exact"/>
        <w:jc w:val="center"/>
        <w:rPr>
          <w:rFonts w:ascii="楷体" w:eastAsia="楷体" w:hAnsi="楷体" w:cs="楷体"/>
          <w:b/>
          <w:bCs/>
          <w:color w:val="000000" w:themeColor="text1"/>
          <w:spacing w:val="-1"/>
          <w:szCs w:val="32"/>
        </w:rPr>
      </w:pPr>
      <w:bookmarkStart w:id="77" w:name="_Toc1712884125_WPSOffice_Level2"/>
      <w:bookmarkStart w:id="78" w:name="_Toc255330704_WPSOffice_Level2"/>
      <w:bookmarkStart w:id="79" w:name="_Toc334261645_WPSOffice_Level2"/>
      <w:bookmarkStart w:id="80" w:name="_Toc1202342827_WPSOffice_Level2"/>
      <w:bookmarkStart w:id="81" w:name="_Toc1266131550_WPSOffice_Level2"/>
      <w:r>
        <w:rPr>
          <w:rFonts w:ascii="楷体_GB2312" w:eastAsia="楷体_GB2312" w:hAnsi="楷体_GB2312" w:cs="楷体_GB2312" w:hint="eastAsia"/>
          <w:b/>
          <w:bCs/>
          <w:color w:val="000000" w:themeColor="text1"/>
          <w:szCs w:val="32"/>
        </w:rPr>
        <w:t>专栏14：文旅产业重点项目</w:t>
      </w:r>
      <w:bookmarkEnd w:id="77"/>
      <w:bookmarkEnd w:id="78"/>
      <w:bookmarkEnd w:id="79"/>
      <w:bookmarkEnd w:id="80"/>
      <w:bookmarkEnd w:id="81"/>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15"/>
      </w:tblGrid>
      <w:tr w:rsidR="00CE1A11">
        <w:trPr>
          <w:jc w:val="center"/>
        </w:trPr>
        <w:tc>
          <w:tcPr>
            <w:tcW w:w="8715" w:type="dxa"/>
            <w:tcBorders>
              <w:top w:val="single" w:sz="4" w:space="0" w:color="auto"/>
              <w:left w:val="single" w:sz="4" w:space="0" w:color="auto"/>
              <w:bottom w:val="single" w:sz="4" w:space="0" w:color="auto"/>
              <w:right w:val="single" w:sz="4" w:space="0" w:color="auto"/>
            </w:tcBorders>
            <w:noWrap/>
          </w:tcPr>
          <w:p w:rsidR="00CE1A11" w:rsidRDefault="003B6665" w:rsidP="008D767D">
            <w:pPr>
              <w:adjustRightInd w:val="0"/>
              <w:spacing w:after="0" w:line="600" w:lineRule="exact"/>
              <w:ind w:firstLineChars="200" w:firstLine="643"/>
              <w:rPr>
                <w:rFonts w:ascii="仿宋_GB2312" w:eastAsia="仿宋_GB2312" w:hAnsi="Times New Roman" w:cs="仿宋_GB2312"/>
                <w:color w:val="000000" w:themeColor="text1"/>
                <w:kern w:val="0"/>
                <w:szCs w:val="32"/>
              </w:rPr>
            </w:pPr>
            <w:r>
              <w:rPr>
                <w:rFonts w:ascii="仿宋_GB2312" w:eastAsia="仿宋_GB2312" w:hAnsi="Times New Roman" w:cs="仿宋_GB2312" w:hint="eastAsia"/>
                <w:b/>
                <w:bCs/>
                <w:color w:val="000000" w:themeColor="text1"/>
                <w:kern w:val="0"/>
                <w:szCs w:val="32"/>
              </w:rPr>
              <w:t>国际性旅游核心吸引物项目。</w:t>
            </w:r>
            <w:r>
              <w:rPr>
                <w:rFonts w:ascii="仿宋_GB2312" w:eastAsia="仿宋_GB2312" w:hAnsi="Times New Roman" w:cs="仿宋_GB2312" w:hint="eastAsia"/>
                <w:color w:val="000000" w:themeColor="text1"/>
                <w:kern w:val="0"/>
                <w:szCs w:val="32"/>
              </w:rPr>
              <w:t>鼓浪屿历史国际社区、万石山国家风景名胜区、中山路—厦港文化休闲街区、环岛路休闲旅游带、集美国际文化研学旅行中心、五缘湾休闲旅游度假</w:t>
            </w:r>
            <w:r>
              <w:rPr>
                <w:rFonts w:ascii="仿宋_GB2312" w:eastAsia="仿宋_GB2312" w:hAnsi="Times New Roman" w:cs="仿宋_GB2312" w:hint="eastAsia"/>
                <w:color w:val="000000" w:themeColor="text1"/>
                <w:kern w:val="0"/>
                <w:szCs w:val="32"/>
              </w:rPr>
              <w:lastRenderedPageBreak/>
              <w:t>区、环东海域休闲旅游度假带、马銮湾—天竺山生态休闲度假区。</w:t>
            </w:r>
          </w:p>
          <w:p w:rsidR="00CE1A11" w:rsidRDefault="003B6665" w:rsidP="008D767D">
            <w:pPr>
              <w:adjustRightInd w:val="0"/>
              <w:spacing w:after="0" w:line="600" w:lineRule="exact"/>
              <w:ind w:firstLineChars="200" w:firstLine="643"/>
              <w:rPr>
                <w:rFonts w:ascii="仿宋_GB2312" w:eastAsia="仿宋_GB2312" w:hAnsi="Times New Roman" w:cs="仿宋_GB2312"/>
                <w:color w:val="000000" w:themeColor="text1"/>
                <w:kern w:val="0"/>
                <w:szCs w:val="32"/>
              </w:rPr>
            </w:pPr>
            <w:r>
              <w:rPr>
                <w:rFonts w:ascii="仿宋_GB2312" w:eastAsia="仿宋_GB2312" w:hAnsi="Times New Roman" w:cs="仿宋_GB2312" w:hint="eastAsia"/>
                <w:b/>
                <w:bCs/>
                <w:color w:val="000000" w:themeColor="text1"/>
                <w:kern w:val="0"/>
                <w:szCs w:val="32"/>
              </w:rPr>
              <w:t>重点文旅项目推进工程。</w:t>
            </w:r>
            <w:r>
              <w:rPr>
                <w:rFonts w:ascii="仿宋_GB2312" w:eastAsia="仿宋_GB2312" w:hAnsi="Times New Roman" w:cs="仿宋_GB2312" w:hint="eastAsia"/>
                <w:color w:val="000000" w:themeColor="text1"/>
                <w:kern w:val="0"/>
                <w:szCs w:val="32"/>
              </w:rPr>
              <w:t>园林植物园创建国家5A级旅游景区项目；西海湾邮轮城（海上世界）、滨海旅游浪漫线、东坪山生态旅游区、大帽山境全域旅游、香山风景旅游区项目；马銮湾集美岛国际化高端滨海主题旅游区项目、丙洲岛“主题乐园群+文旅产品聚集区”项目；华强方特二期、神游华夏园二期、灵玲国际马戏城二期等重点文旅提升项目。</w:t>
            </w:r>
          </w:p>
          <w:p w:rsidR="00CE1A11" w:rsidRDefault="003B6665" w:rsidP="008D767D">
            <w:pPr>
              <w:adjustRightInd w:val="0"/>
              <w:spacing w:after="0" w:line="600" w:lineRule="exact"/>
              <w:ind w:firstLineChars="200" w:firstLine="643"/>
              <w:rPr>
                <w:rFonts w:ascii="仿宋_GB2312" w:cs="仿宋"/>
                <w:snapToGrid w:val="0"/>
                <w:color w:val="000000" w:themeColor="text1"/>
                <w:kern w:val="0"/>
              </w:rPr>
            </w:pPr>
            <w:r>
              <w:rPr>
                <w:rFonts w:ascii="仿宋_GB2312" w:eastAsia="仿宋_GB2312" w:hAnsi="Times New Roman" w:cs="仿宋_GB2312" w:hint="eastAsia"/>
                <w:b/>
                <w:bCs/>
                <w:color w:val="000000" w:themeColor="text1"/>
                <w:kern w:val="0"/>
                <w:szCs w:val="32"/>
              </w:rPr>
              <w:t>夜间文旅消费集聚区创建工程。</w:t>
            </w:r>
            <w:r>
              <w:rPr>
                <w:rFonts w:ascii="仿宋_GB2312" w:eastAsia="仿宋_GB2312" w:hAnsi="Times New Roman" w:cs="仿宋_GB2312" w:hint="eastAsia"/>
                <w:color w:val="000000" w:themeColor="text1"/>
                <w:kern w:val="0"/>
                <w:szCs w:val="32"/>
              </w:rPr>
              <w:t>鹭江夜游、环鼓浪屿夜游提升项目；全市楼体艺术灯光秀及白鹭洲公园音乐喷泉、白鹭女神灯光秀优化项目；特区1980、龙山文创园、沙坡尾、嘉禾良库等文化创意产业园区夜间文化创意设计、成果展示项目；诚毅科技探索中心“科探奇妙夜”研学项目。</w:t>
            </w:r>
          </w:p>
        </w:tc>
      </w:tr>
    </w:tbl>
    <w:p w:rsidR="00CE1A11" w:rsidRDefault="003B6665" w:rsidP="001519D4">
      <w:pPr>
        <w:pStyle w:val="1"/>
        <w:numPr>
          <w:ilvl w:val="0"/>
          <w:numId w:val="0"/>
        </w:numPr>
        <w:adjustRightInd w:val="0"/>
        <w:snapToGrid w:val="0"/>
        <w:spacing w:beforeLines="50"/>
        <w:ind w:firstLineChars="200" w:firstLine="640"/>
        <w:jc w:val="both"/>
        <w:rPr>
          <w:rFonts w:hAnsi="黑体" w:cs="黑体" w:hint="default"/>
          <w:color w:val="000000" w:themeColor="text1"/>
        </w:rPr>
      </w:pPr>
      <w:bookmarkStart w:id="82" w:name="_Toc715366956"/>
      <w:bookmarkStart w:id="83" w:name="_Toc1305113253"/>
      <w:bookmarkStart w:id="84" w:name="_Toc102423773"/>
      <w:r>
        <w:rPr>
          <w:rFonts w:hAnsi="黑体" w:cs="黑体"/>
          <w:color w:val="000000" w:themeColor="text1"/>
        </w:rPr>
        <w:lastRenderedPageBreak/>
        <w:t>五、深入实施五大工程，增强服务业发展新动能</w:t>
      </w:r>
      <w:bookmarkEnd w:id="82"/>
      <w:bookmarkEnd w:id="83"/>
      <w:bookmarkEnd w:id="84"/>
    </w:p>
    <w:p w:rsidR="00CE1A11" w:rsidRDefault="003B6665" w:rsidP="008D767D">
      <w:pPr>
        <w:pStyle w:val="2"/>
        <w:numPr>
          <w:ilvl w:val="0"/>
          <w:numId w:val="0"/>
        </w:numPr>
        <w:adjustRightInd w:val="0"/>
        <w:snapToGrid w:val="0"/>
        <w:ind w:firstLineChars="200" w:firstLine="643"/>
        <w:jc w:val="both"/>
        <w:rPr>
          <w:rFonts w:ascii="仿宋_GB2312" w:eastAsia="仿宋_GB2312" w:hAnsi="仿宋_GB2312" w:cs="仿宋_GB2312" w:hint="default"/>
          <w:b/>
          <w:bCs/>
          <w:color w:val="000000" w:themeColor="text1"/>
        </w:rPr>
      </w:pPr>
      <w:bookmarkStart w:id="85" w:name="_Toc102423774"/>
      <w:bookmarkStart w:id="86" w:name="_Toc1622333349"/>
      <w:bookmarkStart w:id="87" w:name="_Toc1390072660"/>
      <w:r>
        <w:rPr>
          <w:rFonts w:ascii="楷体_GB2312" w:eastAsia="楷体_GB2312" w:hAnsi="楷体_GB2312" w:cs="楷体_GB2312"/>
          <w:b/>
          <w:bCs/>
          <w:color w:val="000000" w:themeColor="text1"/>
        </w:rPr>
        <w:t>（一）市场主体壮大工程</w:t>
      </w:r>
      <w:bookmarkEnd w:id="85"/>
      <w:bookmarkEnd w:id="86"/>
      <w:bookmarkEnd w:id="87"/>
    </w:p>
    <w:p w:rsidR="00CE1A11" w:rsidRDefault="003B6665">
      <w:pPr>
        <w:adjustRightInd w:val="0"/>
        <w:snapToGrid w:val="0"/>
        <w:spacing w:after="0" w:line="60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完善企业全周期梯次培育体系，分层次精准施策，扶持龙头型、平台型、生态型企业做大做强，推动大中小企业融通发展，坚持实施招商引资，持续激发服务业市场活力。</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1.大力发展总部经济。</w:t>
      </w:r>
      <w:r>
        <w:rPr>
          <w:rFonts w:ascii="仿宋_GB2312" w:eastAsia="仿宋_GB2312" w:hAnsi="方正仿宋_GB18030" w:cs="方正仿宋_GB18030" w:hint="eastAsia"/>
          <w:color w:val="000000" w:themeColor="text1"/>
          <w:szCs w:val="32"/>
        </w:rPr>
        <w:t>立足我市重点产业链群补链、强链、扩链，瞄准高能级目标企业，</w:t>
      </w:r>
      <w:r>
        <w:rPr>
          <w:rFonts w:ascii="仿宋_GB2312" w:eastAsia="仿宋_GB2312" w:hAnsi="仿宋_GB2312" w:cs="仿宋_GB2312" w:hint="eastAsia"/>
          <w:color w:val="000000" w:themeColor="text1"/>
          <w:szCs w:val="32"/>
        </w:rPr>
        <w:t>积极引进世界500强、央企、民企龙头企业和行业领军企业在厦设立区域总部，推动一批具备跨国跨区域资源配置能力的大企业来厦设立投资中心、研发中心、财</w:t>
      </w:r>
      <w:r>
        <w:rPr>
          <w:rFonts w:ascii="仿宋_GB2312" w:eastAsia="仿宋_GB2312" w:hAnsi="仿宋_GB2312" w:cs="仿宋_GB2312" w:hint="eastAsia"/>
          <w:color w:val="000000" w:themeColor="text1"/>
          <w:szCs w:val="32"/>
        </w:rPr>
        <w:lastRenderedPageBreak/>
        <w:t>务中心等职能型总部。支持在厦总部企业整合资源、提升能级、拓展功能。</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2.积极培育融合型企业。</w:t>
      </w:r>
      <w:r>
        <w:rPr>
          <w:rFonts w:ascii="仿宋_GB2312" w:eastAsia="仿宋_GB2312" w:hAnsi="仿宋_GB2312" w:cs="仿宋_GB2312" w:hint="eastAsia"/>
          <w:color w:val="000000" w:themeColor="text1"/>
          <w:szCs w:val="32"/>
        </w:rPr>
        <w:t>支持制造业企业向服务业领域延伸拓展，鼓励电信、计算机和信息技术服务外包企业与我市重点制造业企业的融合发展。推动制造业企业向系统集成和整体解决方案提供商转型，为上下游及中小微企业提供数字化转型技术服务，打造行业级和集群式数字化转型解决方案。鼓励软件信息企业向软件、硬件、应用和服务一体化适配方向发展，逐步完善技术和产品体系。</w:t>
      </w:r>
    </w:p>
    <w:p w:rsidR="00CE1A11" w:rsidRDefault="003B6665" w:rsidP="008D767D">
      <w:pPr>
        <w:adjustRightInd w:val="0"/>
        <w:snapToGrid w:val="0"/>
        <w:spacing w:after="0" w:line="600" w:lineRule="exact"/>
        <w:ind w:firstLineChars="200" w:firstLine="643"/>
        <w:rPr>
          <w:rFonts w:ascii="仿宋_GB2312" w:eastAsia="仿宋_GB2312"/>
          <w:color w:val="000000" w:themeColor="text1"/>
          <w:szCs w:val="32"/>
        </w:rPr>
      </w:pPr>
      <w:r>
        <w:rPr>
          <w:rFonts w:ascii="仿宋_GB2312" w:eastAsia="仿宋_GB2312" w:hAnsi="仿宋_GB2312" w:cs="仿宋_GB2312" w:hint="eastAsia"/>
          <w:b/>
          <w:bCs/>
          <w:color w:val="000000" w:themeColor="text1"/>
          <w:szCs w:val="32"/>
        </w:rPr>
        <w:t>3.支持新经济企业健康发展。</w:t>
      </w:r>
      <w:r>
        <w:rPr>
          <w:rFonts w:ascii="仿宋_GB2312" w:eastAsia="仿宋_GB2312" w:hAnsi="仿宋_GB2312" w:cs="仿宋_GB2312" w:hint="eastAsia"/>
          <w:color w:val="000000" w:themeColor="text1"/>
          <w:szCs w:val="32"/>
        </w:rPr>
        <w:t>加快中小企业与互联网融合，不断催生新的商业模式，扩大服务业企业数量。动态筛选新经济企业库，分层次做好融资、应用场景试点、项目对接、上市辅导等发展服务。</w:t>
      </w:r>
      <w:r>
        <w:rPr>
          <w:rFonts w:ascii="仿宋_GB2312" w:eastAsia="仿宋_GB2312" w:hint="eastAsia"/>
          <w:color w:val="000000" w:themeColor="text1"/>
          <w:szCs w:val="32"/>
        </w:rPr>
        <w:t>积极引导和督促新经济企业诚信守法经营,在保障安全底线的前提下健康有序发展。</w:t>
      </w:r>
      <w:bookmarkStart w:id="88" w:name="_Toc41661524"/>
    </w:p>
    <w:p w:rsidR="00CE1A11" w:rsidRDefault="003B6665" w:rsidP="008D767D">
      <w:pPr>
        <w:adjustRightInd w:val="0"/>
        <w:snapToGrid w:val="0"/>
        <w:spacing w:after="0" w:line="600" w:lineRule="exact"/>
        <w:ind w:firstLineChars="200" w:firstLine="643"/>
        <w:rPr>
          <w:color w:val="000000" w:themeColor="text1"/>
        </w:rPr>
      </w:pPr>
      <w:r>
        <w:rPr>
          <w:rFonts w:ascii="仿宋_GB2312" w:eastAsia="仿宋_GB2312" w:hAnsi="仿宋_GB2312" w:cs="仿宋_GB2312" w:hint="eastAsia"/>
          <w:b/>
          <w:bCs/>
          <w:color w:val="000000" w:themeColor="text1"/>
          <w:szCs w:val="32"/>
        </w:rPr>
        <w:t>4.促进品牌质量全方位提升</w:t>
      </w:r>
      <w:bookmarkEnd w:id="88"/>
      <w:r>
        <w:rPr>
          <w:rFonts w:ascii="仿宋_GB2312" w:eastAsia="仿宋_GB2312" w:hAnsi="仿宋_GB2312" w:cs="仿宋_GB2312" w:hint="eastAsia"/>
          <w:b/>
          <w:bCs/>
          <w:color w:val="000000" w:themeColor="text1"/>
          <w:szCs w:val="32"/>
        </w:rPr>
        <w:t>。</w:t>
      </w:r>
      <w:r>
        <w:rPr>
          <w:rFonts w:ascii="仿宋_GB2312" w:eastAsia="仿宋_GB2312" w:hint="eastAsia"/>
          <w:color w:val="000000" w:themeColor="text1"/>
          <w:szCs w:val="32"/>
        </w:rPr>
        <w:t>支持服务业企业开展自主品牌建设，引导企业注册并规范使用商标、商号，打造一批竞争力强、附加值高的知名品牌。鼓励具有技术优势或自主知识产权的企业事业单位主导或参与国际标准、国家标准或行业标准研制。引导企业开展服务标准化示范试点建设，规范服务流程和服务内容，引领服务行业整体提升。推行企业产品或服务标准自我声明公开或监督制度。</w:t>
      </w:r>
    </w:p>
    <w:p w:rsidR="00CE1A11" w:rsidRDefault="003B6665" w:rsidP="008D767D">
      <w:pPr>
        <w:pStyle w:val="2"/>
        <w:numPr>
          <w:ilvl w:val="0"/>
          <w:numId w:val="0"/>
        </w:numPr>
        <w:adjustRightInd w:val="0"/>
        <w:snapToGrid w:val="0"/>
        <w:ind w:firstLineChars="200" w:firstLine="643"/>
        <w:jc w:val="both"/>
        <w:rPr>
          <w:rFonts w:ascii="仿宋_GB2312" w:eastAsia="仿宋_GB2312" w:hAnsi="仿宋_GB2312" w:cs="仿宋_GB2312" w:hint="default"/>
          <w:b/>
          <w:bCs/>
          <w:color w:val="000000" w:themeColor="text1"/>
        </w:rPr>
      </w:pPr>
      <w:bookmarkStart w:id="89" w:name="_Toc102423775"/>
      <w:bookmarkStart w:id="90" w:name="_Toc1634278671"/>
      <w:bookmarkStart w:id="91" w:name="_Toc65289493"/>
      <w:r>
        <w:rPr>
          <w:rFonts w:ascii="楷体_GB2312" w:eastAsia="楷体_GB2312" w:hAnsi="楷体_GB2312" w:cs="楷体_GB2312"/>
          <w:b/>
          <w:bCs/>
          <w:color w:val="000000" w:themeColor="text1"/>
        </w:rPr>
        <w:t>（二）空间布局优化工程</w:t>
      </w:r>
      <w:bookmarkEnd w:id="89"/>
      <w:bookmarkEnd w:id="90"/>
      <w:bookmarkEnd w:id="91"/>
    </w:p>
    <w:p w:rsidR="00CE1A11" w:rsidRDefault="003B6665">
      <w:pPr>
        <w:adjustRightInd w:val="0"/>
        <w:snapToGrid w:val="0"/>
        <w:spacing w:after="0" w:line="60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锚定片区主导产业，注重差异化、特色化和协同化发展，</w:t>
      </w:r>
      <w:r>
        <w:rPr>
          <w:rFonts w:ascii="仿宋_GB2312" w:eastAsia="仿宋_GB2312" w:cs="仿宋_GB2312" w:hint="eastAsia"/>
          <w:color w:val="000000" w:themeColor="text1"/>
          <w:szCs w:val="32"/>
        </w:rPr>
        <w:t>充</w:t>
      </w:r>
      <w:r>
        <w:rPr>
          <w:rFonts w:ascii="仿宋_GB2312" w:eastAsia="仿宋_GB2312" w:cs="仿宋_GB2312" w:hint="eastAsia"/>
          <w:color w:val="000000" w:themeColor="text1"/>
          <w:szCs w:val="32"/>
        </w:rPr>
        <w:lastRenderedPageBreak/>
        <w:t>分发挥同安新城现代服务业基地、马銮湾新城、两岸金融中心、软件园、厦门科学城、前场铁路大型货场、新机场临空产业区等载体作用，吸引重大项目、资金要素、高端人才等向园区和基地集中，打造一批创新能力强、集聚功能突出、龙头示范带动作用明显的现代服务业集聚区。</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1.高品质建设总部集聚区。</w:t>
      </w:r>
      <w:r>
        <w:rPr>
          <w:rFonts w:ascii="仿宋_GB2312" w:eastAsia="仿宋_GB2312" w:hAnsi="仿宋_GB2312" w:cs="仿宋_GB2312" w:hint="eastAsia"/>
          <w:color w:val="000000" w:themeColor="text1"/>
          <w:szCs w:val="32"/>
        </w:rPr>
        <w:t>高起点打造滨北超级总部基地，完善提升基础设施，重点引进高能级龙头企业项目。加快推进两岸金融中心建设，重点引进境内外金融机构设立区域总部或职能型总部，推动五通片区高端商务区建设，形成两岸金融产业集聚区。加快提升观音山—五缘湾商务运营中心配套功能，优化存量商务楼宇招商政策，引导总部经济、新兴产业等集聚发展。加快推进海沧湾、马銮湾、杏林湾、同安新城、翔安新城等岛外新兴商务中心建设。</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2.高质量建设科创产业集聚区。</w:t>
      </w:r>
      <w:r>
        <w:rPr>
          <w:rFonts w:ascii="仿宋_GB2312" w:eastAsia="仿宋_GB2312" w:hAnsi="仿宋_GB2312" w:cs="仿宋_GB2312" w:hint="eastAsia"/>
          <w:color w:val="000000" w:themeColor="text1"/>
          <w:szCs w:val="32"/>
        </w:rPr>
        <w:t>加快建设厦门科学城，提升火炬高新区核心区、湖里创新园、开元创新社区、环厦大科创谷等科创产业园区，统筹开展软件园一期、二期、三期的改造和开发，优化科技研发载体环境，重点发展人工智能、大数据、信息技术应用创新、工业互联网、动漫游戏等产业，打造数字服务出口基地。</w:t>
      </w:r>
    </w:p>
    <w:p w:rsidR="00CE1A11" w:rsidRDefault="003B6665" w:rsidP="001519D4">
      <w:pPr>
        <w:adjustRightInd w:val="0"/>
        <w:snapToGrid w:val="0"/>
        <w:spacing w:afterLines="5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3.高标准建设物流产业</w:t>
      </w:r>
      <w:r>
        <w:rPr>
          <w:rFonts w:ascii="仿宋_GB2312" w:eastAsia="仿宋_GB2312" w:hAnsi="仿宋_GB2312" w:cs="仿宋_GB2312" w:hint="eastAsia"/>
          <w:b/>
          <w:bCs/>
          <w:color w:val="000000" w:themeColor="text1"/>
          <w:kern w:val="24"/>
          <w:szCs w:val="32"/>
        </w:rPr>
        <w:t>聚集</w:t>
      </w:r>
      <w:r>
        <w:rPr>
          <w:rFonts w:ascii="仿宋_GB2312" w:eastAsia="仿宋_GB2312" w:hAnsi="仿宋_GB2312" w:cs="仿宋_GB2312" w:hint="eastAsia"/>
          <w:b/>
          <w:bCs/>
          <w:color w:val="000000" w:themeColor="text1"/>
          <w:szCs w:val="32"/>
        </w:rPr>
        <w:t>区。</w:t>
      </w:r>
      <w:r>
        <w:rPr>
          <w:rFonts w:ascii="仿宋_GB2312" w:eastAsia="仿宋_GB2312" w:hAnsi="仿宋_GB2312" w:cs="仿宋_GB2312" w:hint="eastAsia"/>
          <w:color w:val="000000" w:themeColor="text1"/>
          <w:szCs w:val="32"/>
        </w:rPr>
        <w:t>围绕海港、空港、铁路等产业要素进行布局，统筹打造海、陆、空交通枢纽。持续推进东渡、海沧、前场、同安、翔安物流产业</w:t>
      </w:r>
      <w:r>
        <w:rPr>
          <w:rFonts w:ascii="仿宋_GB2312" w:eastAsia="仿宋_GB2312" w:hAnsi="仿宋_GB2312" w:cs="仿宋_GB2312" w:hint="eastAsia"/>
          <w:color w:val="000000" w:themeColor="text1"/>
          <w:kern w:val="24"/>
          <w:szCs w:val="32"/>
        </w:rPr>
        <w:t>聚集区</w:t>
      </w:r>
      <w:r>
        <w:rPr>
          <w:rFonts w:ascii="仿宋_GB2312" w:eastAsia="仿宋_GB2312" w:hAnsi="仿宋_GB2312" w:cs="仿宋_GB2312" w:hint="eastAsia"/>
          <w:color w:val="000000" w:themeColor="text1"/>
          <w:szCs w:val="32"/>
        </w:rPr>
        <w:t>建设，重点发展供应链物流、电商物流、城市配送、冷链物流、绿色物流等新业态，打</w:t>
      </w:r>
      <w:r>
        <w:rPr>
          <w:rFonts w:ascii="仿宋_GB2312" w:eastAsia="仿宋_GB2312" w:hAnsi="仿宋_GB2312" w:cs="仿宋_GB2312" w:hint="eastAsia"/>
          <w:color w:val="000000" w:themeColor="text1"/>
          <w:szCs w:val="32"/>
        </w:rPr>
        <w:lastRenderedPageBreak/>
        <w:t>造功能互补、特色鲜明、有机联动的物流产业集群，为我市产业整体发展夯实基础。</w:t>
      </w:r>
    </w:p>
    <w:p w:rsidR="00CE1A11" w:rsidRDefault="003B6665">
      <w:pPr>
        <w:adjustRightInd w:val="0"/>
        <w:snapToGrid w:val="0"/>
        <w:spacing w:after="0" w:line="600" w:lineRule="exact"/>
        <w:jc w:val="center"/>
        <w:rPr>
          <w:color w:val="000000" w:themeColor="text1"/>
        </w:rPr>
      </w:pPr>
      <w:r>
        <w:rPr>
          <w:rFonts w:ascii="楷体_GB2312" w:eastAsia="楷体_GB2312" w:hAnsi="楷体_GB2312" w:cs="楷体_GB2312" w:hint="eastAsia"/>
          <w:b/>
          <w:bCs/>
          <w:color w:val="000000" w:themeColor="text1"/>
          <w:szCs w:val="32"/>
        </w:rPr>
        <w:t>专栏15：服务业重点产业功能区</w:t>
      </w:r>
    </w:p>
    <w:tbl>
      <w:tblPr>
        <w:tblW w:w="8845" w:type="dxa"/>
        <w:jc w:val="center"/>
        <w:tblBorders>
          <w:top w:val="single" w:sz="2" w:space="0" w:color="auto"/>
          <w:left w:val="single" w:sz="2" w:space="0" w:color="auto"/>
          <w:bottom w:val="single" w:sz="2" w:space="0" w:color="auto"/>
          <w:right w:val="single" w:sz="2" w:space="0" w:color="auto"/>
          <w:insideH w:val="single" w:sz="2" w:space="0" w:color="auto"/>
        </w:tblBorders>
        <w:tblLayout w:type="fixed"/>
        <w:tblLook w:val="04A0"/>
      </w:tblPr>
      <w:tblGrid>
        <w:gridCol w:w="8845"/>
      </w:tblGrid>
      <w:tr w:rsidR="00CE1A11">
        <w:trPr>
          <w:trHeight w:val="391"/>
          <w:jc w:val="center"/>
        </w:trPr>
        <w:tc>
          <w:tcPr>
            <w:tcW w:w="8845" w:type="dxa"/>
            <w:noWrap/>
            <w:vAlign w:val="center"/>
          </w:tcPr>
          <w:p w:rsidR="00CE1A11" w:rsidRDefault="003B6665" w:rsidP="008D767D">
            <w:pPr>
              <w:overflowPunct w:val="0"/>
              <w:adjustRightInd w:val="0"/>
              <w:snapToGrid w:val="0"/>
              <w:spacing w:after="0" w:line="600" w:lineRule="exact"/>
              <w:ind w:firstLineChars="200" w:firstLine="643"/>
              <w:textAlignment w:val="center"/>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自贸试验区厦门片区</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43.78</w:t>
            </w:r>
            <w:r>
              <w:rPr>
                <w:rFonts w:ascii="仿宋_GB2312" w:eastAsia="仿宋_GB2312" w:cs="仿宋" w:hint="eastAsia"/>
                <w:snapToGrid w:val="0"/>
                <w:color w:val="000000" w:themeColor="text1"/>
                <w:kern w:val="0"/>
                <w:szCs w:val="32"/>
              </w:rPr>
              <w:t>平方公里，重点发展航空服务、国际贸易、航运物流、跨境电商、金融服务、文化贸易与服务、集成电路研发设计、高端制造产业。</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现代服务业基地。</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111</w:t>
            </w:r>
            <w:r>
              <w:rPr>
                <w:rFonts w:ascii="仿宋_GB2312" w:eastAsia="仿宋_GB2312" w:cs="仿宋" w:hint="eastAsia"/>
                <w:snapToGrid w:val="0"/>
                <w:color w:val="000000" w:themeColor="text1"/>
                <w:kern w:val="0"/>
                <w:szCs w:val="32"/>
              </w:rPr>
              <w:t>平方公里，重点发展新经济、文化旅游、高端商务等。</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其中：现代服务业基地（丙洲片区）。</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2.2</w:t>
            </w:r>
            <w:r>
              <w:rPr>
                <w:rFonts w:ascii="仿宋_GB2312" w:eastAsia="仿宋_GB2312" w:cs="仿宋" w:hint="eastAsia"/>
                <w:snapToGrid w:val="0"/>
                <w:color w:val="000000" w:themeColor="text1"/>
                <w:kern w:val="0"/>
                <w:szCs w:val="32"/>
              </w:rPr>
              <w:t>平方公里，重点发展软件信息、文化旅游、教育服务等。</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其中：现代服务业基地（美峰片区）。</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5.9</w:t>
            </w:r>
            <w:r>
              <w:rPr>
                <w:rFonts w:ascii="仿宋_GB2312" w:eastAsia="仿宋_GB2312" w:cs="仿宋" w:hint="eastAsia"/>
                <w:snapToGrid w:val="0"/>
                <w:color w:val="000000" w:themeColor="text1"/>
                <w:kern w:val="0"/>
                <w:szCs w:val="32"/>
              </w:rPr>
              <w:t>平方公里，重点发展高新技术研发、金融商务、度假酒店等。</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其中：厦门新经济产业园。</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0.17</w:t>
            </w:r>
            <w:r>
              <w:rPr>
                <w:rFonts w:ascii="仿宋_GB2312" w:eastAsia="仿宋_GB2312" w:cs="仿宋" w:hint="eastAsia"/>
                <w:snapToGrid w:val="0"/>
                <w:color w:val="000000" w:themeColor="text1"/>
                <w:kern w:val="0"/>
                <w:szCs w:val="32"/>
              </w:rPr>
              <w:t>平方公里，重点发展</w:t>
            </w:r>
            <w:r>
              <w:rPr>
                <w:rFonts w:ascii="仿宋_GB2312" w:eastAsia="仿宋_GB2312" w:cs="仿宋"/>
                <w:snapToGrid w:val="0"/>
                <w:color w:val="000000" w:themeColor="text1"/>
                <w:kern w:val="0"/>
                <w:szCs w:val="32"/>
              </w:rPr>
              <w:t>5G</w:t>
            </w:r>
            <w:r>
              <w:rPr>
                <w:rFonts w:ascii="仿宋_GB2312" w:eastAsia="仿宋_GB2312" w:cs="仿宋" w:hint="eastAsia"/>
                <w:snapToGrid w:val="0"/>
                <w:color w:val="000000" w:themeColor="text1"/>
                <w:kern w:val="0"/>
                <w:szCs w:val="32"/>
              </w:rPr>
              <w:t>、人工智能、区块链、金融科技等新经济产业。</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其中：厦门银城“智谷”。</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0.33</w:t>
            </w:r>
            <w:r>
              <w:rPr>
                <w:rFonts w:ascii="仿宋_GB2312" w:eastAsia="仿宋_GB2312" w:cs="仿宋" w:hint="eastAsia"/>
                <w:snapToGrid w:val="0"/>
                <w:color w:val="000000" w:themeColor="text1"/>
                <w:kern w:val="0"/>
                <w:szCs w:val="32"/>
              </w:rPr>
              <w:t>平方公里，重点引进总部经济、信息服务、研发设计、文化创意等。</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两岸金融中心。</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23</w:t>
            </w:r>
            <w:r>
              <w:rPr>
                <w:rFonts w:ascii="仿宋_GB2312" w:eastAsia="仿宋_GB2312" w:cs="仿宋" w:hint="eastAsia"/>
                <w:snapToGrid w:val="0"/>
                <w:color w:val="000000" w:themeColor="text1"/>
                <w:kern w:val="0"/>
                <w:szCs w:val="32"/>
              </w:rPr>
              <w:t>平方公里。建设以金融业、总部经济为核心功能的金融商务聚集区，配套商业、商务办公服务。</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集美新城。</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77.7</w:t>
            </w:r>
            <w:r>
              <w:rPr>
                <w:rFonts w:ascii="仿宋_GB2312" w:eastAsia="仿宋_GB2312" w:cs="仿宋" w:hint="eastAsia"/>
                <w:snapToGrid w:val="0"/>
                <w:color w:val="000000" w:themeColor="text1"/>
                <w:kern w:val="0"/>
                <w:szCs w:val="32"/>
              </w:rPr>
              <w:t>平方公里，重点发展软件信息、文化创意与旅游、商务商贸等。</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其中：软件信息研发区。</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10</w:t>
            </w:r>
            <w:r>
              <w:rPr>
                <w:rFonts w:ascii="仿宋_GB2312" w:eastAsia="仿宋_GB2312" w:cs="仿宋" w:hint="eastAsia"/>
                <w:snapToGrid w:val="0"/>
                <w:color w:val="000000" w:themeColor="text1"/>
                <w:kern w:val="0"/>
                <w:szCs w:val="32"/>
              </w:rPr>
              <w:t>平方公里，重</w:t>
            </w:r>
            <w:r>
              <w:rPr>
                <w:rFonts w:ascii="仿宋_GB2312" w:eastAsia="仿宋_GB2312" w:cs="仿宋" w:hint="eastAsia"/>
                <w:snapToGrid w:val="0"/>
                <w:color w:val="000000" w:themeColor="text1"/>
                <w:kern w:val="0"/>
                <w:szCs w:val="32"/>
              </w:rPr>
              <w:lastRenderedPageBreak/>
              <w:t>点布局</w:t>
            </w:r>
            <w:r>
              <w:rPr>
                <w:rFonts w:ascii="仿宋_GB2312" w:eastAsia="仿宋_GB2312" w:cs="仿宋"/>
                <w:snapToGrid w:val="0"/>
                <w:color w:val="000000" w:themeColor="text1"/>
                <w:kern w:val="0"/>
                <w:szCs w:val="32"/>
              </w:rPr>
              <w:t>5G</w:t>
            </w:r>
            <w:r>
              <w:rPr>
                <w:rFonts w:ascii="仿宋_GB2312" w:eastAsia="仿宋_GB2312" w:cs="仿宋" w:hint="eastAsia"/>
                <w:snapToGrid w:val="0"/>
                <w:color w:val="000000" w:themeColor="text1"/>
                <w:kern w:val="0"/>
                <w:szCs w:val="32"/>
              </w:rPr>
              <w:t>、大数据、人工智能、物联网、智能制造等。</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马銮湾新城。</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45</w:t>
            </w:r>
            <w:r>
              <w:rPr>
                <w:rFonts w:ascii="仿宋_GB2312" w:eastAsia="仿宋_GB2312" w:cs="仿宋" w:hint="eastAsia"/>
                <w:snapToGrid w:val="0"/>
                <w:color w:val="000000" w:themeColor="text1"/>
                <w:kern w:val="0"/>
                <w:szCs w:val="32"/>
              </w:rPr>
              <w:t>平方公里，重点发展智慧科技、生命健康、现代物流、商贸文化旅游等。</w:t>
            </w:r>
          </w:p>
          <w:p w:rsidR="00CE1A11" w:rsidRDefault="003B6665" w:rsidP="008D767D">
            <w:pPr>
              <w:overflowPunct w:val="0"/>
              <w:adjustRightInd w:val="0"/>
              <w:snapToGrid w:val="0"/>
              <w:spacing w:after="0" w:line="600" w:lineRule="exact"/>
              <w:ind w:firstLineChars="200" w:firstLine="643"/>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东部体育会展片区。</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6.58</w:t>
            </w:r>
            <w:r>
              <w:rPr>
                <w:rFonts w:ascii="仿宋_GB2312" w:eastAsia="仿宋_GB2312" w:cs="仿宋" w:hint="eastAsia"/>
                <w:snapToGrid w:val="0"/>
                <w:color w:val="000000" w:themeColor="text1"/>
                <w:kern w:val="0"/>
                <w:szCs w:val="32"/>
              </w:rPr>
              <w:t>平方公里，重点发展体育文化、会展商务、总部经济、休闲旅游、康体娱乐等。</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新机场临空产业区。</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51.04</w:t>
            </w:r>
            <w:r>
              <w:rPr>
                <w:rFonts w:ascii="仿宋_GB2312" w:eastAsia="仿宋_GB2312" w:cs="仿宋" w:hint="eastAsia"/>
                <w:snapToGrid w:val="0"/>
                <w:color w:val="000000" w:themeColor="text1"/>
                <w:kern w:val="0"/>
                <w:szCs w:val="32"/>
              </w:rPr>
              <w:t>平方公里，重点发展空港核心产业、临空高技术产业、临空现代服务业。</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岛内科技创新园区。</w:t>
            </w:r>
            <w:r>
              <w:rPr>
                <w:rFonts w:ascii="仿宋_GB2312" w:eastAsia="仿宋_GB2312" w:cs="仿宋" w:hint="eastAsia"/>
                <w:snapToGrid w:val="0"/>
                <w:color w:val="000000" w:themeColor="text1"/>
                <w:kern w:val="0"/>
                <w:szCs w:val="32"/>
              </w:rPr>
              <w:t>重点发展以数字经济为核心的科技研发、软件和信息服务、科技服务、孵化器、创新人才培养等。</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其中：开元创新社区。</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3.12</w:t>
            </w:r>
            <w:r>
              <w:rPr>
                <w:rFonts w:ascii="仿宋_GB2312" w:eastAsia="仿宋_GB2312" w:cs="仿宋" w:hint="eastAsia"/>
                <w:snapToGrid w:val="0"/>
                <w:color w:val="000000" w:themeColor="text1"/>
                <w:kern w:val="0"/>
                <w:szCs w:val="32"/>
              </w:rPr>
              <w:t>平方公里，</w:t>
            </w:r>
            <w:r>
              <w:rPr>
                <w:rFonts w:ascii="仿宋_GB2312" w:eastAsia="仿宋_GB2312" w:cs="仿宋"/>
                <w:snapToGrid w:val="0"/>
                <w:color w:val="000000" w:themeColor="text1"/>
                <w:kern w:val="0"/>
                <w:szCs w:val="32"/>
              </w:rPr>
              <w:t>重点</w:t>
            </w:r>
            <w:r>
              <w:rPr>
                <w:rFonts w:ascii="仿宋_GB2312" w:eastAsia="仿宋_GB2312" w:cs="仿宋" w:hint="eastAsia"/>
                <w:snapToGrid w:val="0"/>
                <w:color w:val="000000" w:themeColor="text1"/>
                <w:kern w:val="0"/>
                <w:szCs w:val="32"/>
              </w:rPr>
              <w:t>发展人工智能、智慧产业、信创产业、数字文创等。</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b/>
                <w:bCs/>
                <w:snapToGrid w:val="0"/>
                <w:color w:val="000000" w:themeColor="text1"/>
                <w:kern w:val="0"/>
                <w:szCs w:val="32"/>
              </w:rPr>
            </w:pPr>
            <w:r>
              <w:rPr>
                <w:rFonts w:ascii="仿宋_GB2312" w:eastAsia="仿宋_GB2312" w:cs="仿宋" w:hint="eastAsia"/>
                <w:b/>
                <w:bCs/>
                <w:snapToGrid w:val="0"/>
                <w:color w:val="000000" w:themeColor="text1"/>
                <w:kern w:val="0"/>
                <w:szCs w:val="32"/>
              </w:rPr>
              <w:t>其中：东部科技创新园。</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0.87</w:t>
            </w:r>
            <w:r>
              <w:rPr>
                <w:rFonts w:ascii="仿宋_GB2312" w:eastAsia="仿宋_GB2312" w:cs="仿宋" w:hint="eastAsia"/>
                <w:snapToGrid w:val="0"/>
                <w:color w:val="000000" w:themeColor="text1"/>
                <w:kern w:val="0"/>
                <w:szCs w:val="32"/>
              </w:rPr>
              <w:t>平方公里，重点发展与制造业相关的研发设计、高端软件和信息服务业（智慧城市、软件研发、人工智能）等。</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其中：环厦大科创谷。</w:t>
            </w:r>
            <w:r>
              <w:rPr>
                <w:rFonts w:ascii="仿宋_GB2312" w:eastAsia="仿宋_GB2312" w:cs="仿宋" w:hint="eastAsia"/>
                <w:snapToGrid w:val="0"/>
                <w:color w:val="000000" w:themeColor="text1"/>
                <w:kern w:val="0"/>
                <w:szCs w:val="32"/>
              </w:rPr>
              <w:t>规划用地面积0.6平方公里，重点发展核心算法、集成电路（IC）设计及应用、人工智能、增强现实技术（AR）/虚拟现实技术（VR）、区块链、融媒体直播等。</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前场物流园。</w:t>
            </w:r>
            <w:r>
              <w:rPr>
                <w:rFonts w:ascii="仿宋_GB2312" w:eastAsia="仿宋_GB2312" w:cs="仿宋" w:hint="eastAsia"/>
                <w:snapToGrid w:val="0"/>
                <w:color w:val="000000" w:themeColor="text1"/>
                <w:kern w:val="0"/>
                <w:szCs w:val="32"/>
              </w:rPr>
              <w:t>规划用地面积</w:t>
            </w:r>
            <w:r>
              <w:rPr>
                <w:rFonts w:ascii="仿宋_GB2312" w:eastAsia="仿宋_GB2312" w:cs="仿宋"/>
                <w:snapToGrid w:val="0"/>
                <w:color w:val="000000" w:themeColor="text1"/>
                <w:kern w:val="0"/>
                <w:szCs w:val="32"/>
              </w:rPr>
              <w:t>4</w:t>
            </w:r>
            <w:r>
              <w:rPr>
                <w:rFonts w:ascii="仿宋_GB2312" w:eastAsia="仿宋_GB2312" w:cs="仿宋" w:hint="eastAsia"/>
                <w:snapToGrid w:val="0"/>
                <w:color w:val="000000" w:themeColor="text1"/>
                <w:kern w:val="0"/>
                <w:szCs w:val="32"/>
              </w:rPr>
              <w:t>平方公里，重点发展多式联运、冷链物流、供应链物流、城市城际配送等。</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t>总部集聚区。</w:t>
            </w:r>
            <w:r>
              <w:rPr>
                <w:rFonts w:ascii="仿宋_GB2312" w:eastAsia="仿宋_GB2312" w:cs="仿宋" w:hint="eastAsia"/>
                <w:snapToGrid w:val="0"/>
                <w:color w:val="000000" w:themeColor="text1"/>
                <w:kern w:val="0"/>
                <w:szCs w:val="32"/>
              </w:rPr>
              <w:t>推进滨北超级总部基地、观音山</w:t>
            </w:r>
            <w:r>
              <w:rPr>
                <w:rFonts w:ascii="仿宋_GB2312" w:eastAsia="仿宋_GB2312" w:cs="仿宋"/>
                <w:snapToGrid w:val="0"/>
                <w:color w:val="000000" w:themeColor="text1"/>
                <w:kern w:val="0"/>
                <w:szCs w:val="32"/>
              </w:rPr>
              <w:t>-</w:t>
            </w:r>
            <w:r>
              <w:rPr>
                <w:rFonts w:ascii="仿宋_GB2312" w:eastAsia="仿宋_GB2312" w:cs="仿宋" w:hint="eastAsia"/>
                <w:snapToGrid w:val="0"/>
                <w:color w:val="000000" w:themeColor="text1"/>
                <w:kern w:val="0"/>
                <w:szCs w:val="32"/>
              </w:rPr>
              <w:t>五缘湾商务营运中心、岛外新兴商务中心等总部集聚区建设，重点引入国内外大型企业总部或区域型总部、职能型总部。</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Cs w:val="32"/>
              </w:rPr>
            </w:pPr>
            <w:r>
              <w:rPr>
                <w:rFonts w:ascii="仿宋_GB2312" w:eastAsia="仿宋_GB2312" w:cs="仿宋" w:hint="eastAsia"/>
                <w:b/>
                <w:bCs/>
                <w:snapToGrid w:val="0"/>
                <w:color w:val="000000" w:themeColor="text1"/>
                <w:kern w:val="0"/>
                <w:szCs w:val="32"/>
              </w:rPr>
              <w:lastRenderedPageBreak/>
              <w:t>厦门海洋高新产业园区。</w:t>
            </w:r>
            <w:r>
              <w:rPr>
                <w:rFonts w:ascii="仿宋_GB2312" w:eastAsia="仿宋_GB2312" w:cs="仿宋" w:hint="eastAsia"/>
                <w:snapToGrid w:val="0"/>
                <w:color w:val="000000" w:themeColor="text1"/>
                <w:kern w:val="0"/>
                <w:szCs w:val="32"/>
              </w:rPr>
              <w:t>打造集科研、创新、孵化、产业为一体的产学研园区，重点引进国内外知名海洋企业总部。</w:t>
            </w:r>
          </w:p>
          <w:p w:rsidR="00CE1A11" w:rsidRDefault="003B6665" w:rsidP="008D767D">
            <w:pPr>
              <w:overflowPunct w:val="0"/>
              <w:adjustRightInd w:val="0"/>
              <w:snapToGrid w:val="0"/>
              <w:spacing w:after="0" w:line="600" w:lineRule="exact"/>
              <w:ind w:firstLineChars="200" w:firstLine="643"/>
              <w:textAlignment w:val="baseline"/>
              <w:rPr>
                <w:rFonts w:ascii="仿宋_GB2312" w:eastAsia="仿宋_GB2312" w:cs="仿宋"/>
                <w:snapToGrid w:val="0"/>
                <w:color w:val="000000" w:themeColor="text1"/>
                <w:kern w:val="0"/>
                <w:sz w:val="28"/>
                <w:szCs w:val="28"/>
              </w:rPr>
            </w:pPr>
            <w:r>
              <w:rPr>
                <w:rFonts w:ascii="仿宋_GB2312" w:eastAsia="仿宋_GB2312" w:cs="仿宋" w:hint="eastAsia"/>
                <w:b/>
                <w:bCs/>
                <w:snapToGrid w:val="0"/>
                <w:color w:val="000000" w:themeColor="text1"/>
                <w:kern w:val="0"/>
                <w:szCs w:val="32"/>
              </w:rPr>
              <w:t>翔安数字经济产业园。</w:t>
            </w:r>
            <w:r>
              <w:rPr>
                <w:rFonts w:ascii="仿宋_GB2312" w:eastAsia="仿宋_GB2312" w:cs="仿宋" w:hint="eastAsia"/>
                <w:snapToGrid w:val="0"/>
                <w:color w:val="000000" w:themeColor="text1"/>
                <w:kern w:val="0"/>
                <w:szCs w:val="32"/>
              </w:rPr>
              <w:t>规划用地面积0.189平方公里，重点发展人工智能、云计算、大数据应用、数字健康和生物医药等。</w:t>
            </w:r>
          </w:p>
        </w:tc>
      </w:tr>
    </w:tbl>
    <w:p w:rsidR="00CE1A11" w:rsidRDefault="003B6665" w:rsidP="001519D4">
      <w:pPr>
        <w:pStyle w:val="2"/>
        <w:numPr>
          <w:ilvl w:val="0"/>
          <w:numId w:val="0"/>
        </w:numPr>
        <w:adjustRightInd w:val="0"/>
        <w:snapToGrid w:val="0"/>
        <w:spacing w:beforeLines="50"/>
        <w:ind w:firstLineChars="200" w:firstLine="643"/>
        <w:jc w:val="both"/>
        <w:rPr>
          <w:rFonts w:ascii="仿宋_GB2312" w:eastAsia="仿宋_GB2312" w:hAnsi="仿宋_GB2312" w:cs="仿宋_GB2312" w:hint="default"/>
          <w:b/>
          <w:bCs/>
          <w:color w:val="000000" w:themeColor="text1"/>
        </w:rPr>
      </w:pPr>
      <w:bookmarkStart w:id="92" w:name="_Toc102423776"/>
      <w:bookmarkStart w:id="93" w:name="_Toc243474093"/>
      <w:bookmarkStart w:id="94" w:name="_Toc1149945135"/>
      <w:r>
        <w:rPr>
          <w:rFonts w:ascii="楷体_GB2312" w:eastAsia="楷体_GB2312" w:hAnsi="楷体_GB2312" w:cs="楷体_GB2312"/>
          <w:b/>
          <w:bCs/>
          <w:color w:val="000000" w:themeColor="text1"/>
        </w:rPr>
        <w:lastRenderedPageBreak/>
        <w:t>（三）数字赋能提升工程</w:t>
      </w:r>
      <w:bookmarkEnd w:id="92"/>
      <w:bookmarkEnd w:id="93"/>
      <w:bookmarkEnd w:id="94"/>
    </w:p>
    <w:p w:rsidR="00CE1A11" w:rsidRDefault="003B6665">
      <w:pPr>
        <w:adjustRightInd w:val="0"/>
        <w:snapToGrid w:val="0"/>
        <w:spacing w:after="0" w:line="60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以新场景建设为核心突破，加速推动5G、人工智能、大数据、区块链等新技术落地应用，推动服务业数字化、智能化、融合化，营造支持新业态新模式新消费发展良好生态，提高服务业供给效率，促进服务业提质升级。</w:t>
      </w:r>
    </w:p>
    <w:p w:rsidR="00CE1A11" w:rsidRDefault="003B6665" w:rsidP="008D767D">
      <w:pPr>
        <w:pStyle w:val="a6"/>
        <w:adjustRightInd w:val="0"/>
        <w:spacing w:line="600" w:lineRule="exact"/>
        <w:ind w:left="0" w:firstLineChars="200" w:firstLine="643"/>
        <w:rPr>
          <w:rFonts w:ascii="仿宋_GB2312" w:eastAsia="仿宋_GB2312" w:hAnsi="仿宋_GB2312" w:cs="仿宋_GB2312"/>
          <w:color w:val="000000" w:themeColor="text1"/>
          <w:sz w:val="32"/>
          <w:szCs w:val="32"/>
          <w:u w:val="single"/>
          <w:lang w:eastAsia="zh-CN"/>
        </w:rPr>
      </w:pPr>
      <w:r>
        <w:rPr>
          <w:rFonts w:ascii="仿宋_GB2312" w:eastAsia="仿宋_GB2312" w:hAnsi="仿宋_GB2312" w:cs="仿宋_GB2312" w:hint="eastAsia"/>
          <w:b/>
          <w:bCs/>
          <w:color w:val="000000" w:themeColor="text1"/>
          <w:kern w:val="2"/>
          <w:sz w:val="32"/>
          <w:szCs w:val="32"/>
          <w:lang w:eastAsia="zh-CN"/>
        </w:rPr>
        <w:t>1.布局新型数字基础设施。</w:t>
      </w:r>
      <w:r>
        <w:rPr>
          <w:rFonts w:ascii="仿宋_GB2312" w:eastAsia="仿宋_GB2312" w:hAnsi="仿宋_GB2312" w:cs="仿宋_GB2312" w:hint="eastAsia"/>
          <w:color w:val="000000" w:themeColor="text1"/>
          <w:kern w:val="2"/>
          <w:sz w:val="32"/>
          <w:szCs w:val="32"/>
          <w:lang w:eastAsia="zh-CN"/>
        </w:rPr>
        <w:t>加快5G和千兆固网建设，构建高速智能等新一代信息网络。打造支持固移融合、宽窄结合的物联接入能力，构建城市立体感知体系。构建算力、算法、数据、应用资源协同的市级大数据中心体系，统筹超算中心建设，提升智能计算、云计算服务能力。运用新一代信息技术，推动传统基础设施转型升级和融合创新，推进车联网、智慧路网、智能物流、5G智慧医疗等基础设施建设。</w:t>
      </w:r>
    </w:p>
    <w:p w:rsidR="00CE1A11" w:rsidRDefault="003B6665" w:rsidP="008D767D">
      <w:pPr>
        <w:adjustRightInd w:val="0"/>
        <w:snapToGrid w:val="0"/>
        <w:spacing w:after="0" w:line="600" w:lineRule="exact"/>
        <w:ind w:firstLineChars="200" w:firstLine="643"/>
        <w:rPr>
          <w:rFonts w:eastAsia="仿宋_GB2312"/>
          <w:color w:val="000000" w:themeColor="text1"/>
          <w:szCs w:val="32"/>
        </w:rPr>
      </w:pPr>
      <w:r>
        <w:rPr>
          <w:rFonts w:ascii="仿宋_GB2312" w:eastAsia="仿宋_GB2312" w:hAnsi="仿宋_GB2312" w:cs="仿宋_GB2312" w:hint="eastAsia"/>
          <w:b/>
          <w:bCs/>
          <w:color w:val="000000" w:themeColor="text1"/>
          <w:szCs w:val="32"/>
        </w:rPr>
        <w:t>2.发展数字新业态新模式。</w:t>
      </w:r>
      <w:r>
        <w:rPr>
          <w:rFonts w:ascii="仿宋_GB2312" w:eastAsia="仿宋_GB2312" w:hAnsi="仿宋_GB2312" w:cs="仿宋_GB2312" w:hint="eastAsia"/>
          <w:color w:val="000000" w:themeColor="text1"/>
          <w:szCs w:val="32"/>
        </w:rPr>
        <w:t>促进平台经济、共享经济、体验经济健康发展。推动互联网医疗、电商直播、在线办公、新型移动出行、网络货运、数字文化等新模式加快发展。提升跨境电商数字化服务水平，推动建设智慧通关体系。推进数字人民币试点，通过消费支付、智慧生活、社会民生等基础性场景建设布局，构</w:t>
      </w:r>
      <w:r>
        <w:rPr>
          <w:rFonts w:ascii="仿宋_GB2312" w:eastAsia="仿宋_GB2312" w:hAnsi="仿宋_GB2312" w:cs="仿宋_GB2312" w:hint="eastAsia"/>
          <w:color w:val="000000" w:themeColor="text1"/>
          <w:szCs w:val="32"/>
        </w:rPr>
        <w:lastRenderedPageBreak/>
        <w:t>建多方参与的数字人民币流通生态体系，更好地满足公众对于数字环境下法定货币支付使用需求。增强金融科技创新能力，加速信用大数据体系和金融风险预警平台建设，实现金融服务流程再造。</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3.推动应用场景开放和数据共享。</w:t>
      </w:r>
      <w:r>
        <w:rPr>
          <w:rFonts w:ascii="仿宋_GB2312" w:eastAsia="仿宋_GB2312" w:hAnsi="仿宋_GB2312" w:cs="仿宋_GB2312" w:hint="eastAsia"/>
          <w:color w:val="000000" w:themeColor="text1"/>
          <w:szCs w:val="32"/>
        </w:rPr>
        <w:t>加大数字经济应用场景开放力度，建立常态化应用场景发布、解决方案征集、供需对接等机制，吸引国内外优质企业共同参与我市场景项目设计建设。促进数据资源流通共享赋能新场景。安全有序推进政企数据共享对接与开发利用。健全公共数据开放开发机制。推进公共数据资源分级开发，探索建立数据资源统筹管理、授权许可、收益分配、应用创新和安全保障机制，更新发布开放目录清单，拓展公共数据开放维度。确保在数据流动安全可控的前提下，建设厦门国际数据枢纽港，开展国际互联网数据在线处理与交易等业务试点。</w:t>
      </w:r>
    </w:p>
    <w:p w:rsidR="00CE1A11" w:rsidRDefault="003B6665" w:rsidP="008D767D">
      <w:pPr>
        <w:pStyle w:val="2"/>
        <w:numPr>
          <w:ilvl w:val="0"/>
          <w:numId w:val="0"/>
        </w:numPr>
        <w:adjustRightInd w:val="0"/>
        <w:snapToGrid w:val="0"/>
        <w:ind w:firstLineChars="200" w:firstLine="643"/>
        <w:jc w:val="both"/>
        <w:rPr>
          <w:rFonts w:ascii="仿宋_GB2312" w:eastAsia="仿宋_GB2312" w:hAnsi="仿宋_GB2312" w:cs="仿宋_GB2312" w:hint="default"/>
          <w:b/>
          <w:bCs/>
          <w:color w:val="000000" w:themeColor="text1"/>
        </w:rPr>
      </w:pPr>
      <w:bookmarkStart w:id="95" w:name="_Toc1557976491"/>
      <w:bookmarkStart w:id="96" w:name="_Toc102423777"/>
      <w:bookmarkStart w:id="97" w:name="_Toc1130346745"/>
      <w:bookmarkStart w:id="98" w:name="_Toc41661521"/>
      <w:r>
        <w:rPr>
          <w:rFonts w:ascii="楷体_GB2312" w:eastAsia="楷体_GB2312" w:hAnsi="楷体_GB2312" w:cs="楷体_GB2312"/>
          <w:b/>
          <w:bCs/>
          <w:color w:val="000000" w:themeColor="text1"/>
        </w:rPr>
        <w:t>（四）人才发展引领工程</w:t>
      </w:r>
      <w:bookmarkEnd w:id="95"/>
      <w:bookmarkEnd w:id="96"/>
      <w:bookmarkEnd w:id="97"/>
    </w:p>
    <w:p w:rsidR="00CE1A11" w:rsidRDefault="003B6665">
      <w:pPr>
        <w:adjustRightInd w:val="0"/>
        <w:snapToGrid w:val="0"/>
        <w:spacing w:after="0" w:line="600" w:lineRule="exact"/>
        <w:ind w:firstLineChars="200" w:firstLine="640"/>
        <w:rPr>
          <w:rFonts w:ascii="仿宋_GB2312" w:eastAsia="仿宋_GB2312" w:hAnsi="仿宋_GB2312" w:cs="仿宋_GB2312"/>
          <w:color w:val="000000" w:themeColor="text1"/>
          <w:szCs w:val="32"/>
        </w:rPr>
      </w:pPr>
      <w:r>
        <w:rPr>
          <w:rFonts w:ascii="仿宋_GB2312" w:eastAsia="仿宋_GB2312" w:hAnsi="仿宋_GB2312" w:cs="仿宋_GB2312" w:hint="eastAsia"/>
          <w:color w:val="000000" w:themeColor="text1"/>
          <w:szCs w:val="32"/>
        </w:rPr>
        <w:t>优化“海纳百川”等系列人才政策，深入实施“金鹭领航”等各类人才工程，从机制、平台、生活环境等维度着手，构建“多层次、全领域、立体化”的人才服务体系，构建现代服务业人力资源集聚和顺畅流动的高地。</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1.创新人才引进和培育机制。</w:t>
      </w:r>
      <w:r>
        <w:rPr>
          <w:rFonts w:ascii="仿宋_GB2312" w:eastAsia="仿宋_GB2312" w:hAnsi="仿宋_GB2312" w:cs="仿宋_GB2312" w:hint="eastAsia"/>
          <w:color w:val="000000" w:themeColor="text1"/>
          <w:szCs w:val="32"/>
        </w:rPr>
        <w:t>完善重点产业紧缺人才引进机制，大力引进顶尖人才及其团队，支持高校、科研单位、企业、社会组织等主体引进各层次现代服务业人才。完善分类别、分层次的评价机制，完善细分行业人才认定标准，优化人才认定条件，持续做好人才队伍梯度建设。鼓励人才流动，推动龙头企业、高</w:t>
      </w:r>
      <w:r>
        <w:rPr>
          <w:rFonts w:ascii="仿宋_GB2312" w:eastAsia="仿宋_GB2312" w:hAnsi="仿宋_GB2312" w:cs="仿宋_GB2312" w:hint="eastAsia"/>
          <w:color w:val="000000" w:themeColor="text1"/>
          <w:szCs w:val="32"/>
        </w:rPr>
        <w:lastRenderedPageBreak/>
        <w:t>校、科研院所中的人力资源优化整合。提升人才市场服务能级，引进国内外一流的人力资源服务机构。</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2.打造人才发展优质平台。</w:t>
      </w:r>
      <w:r>
        <w:rPr>
          <w:rFonts w:ascii="仿宋_GB2312" w:eastAsia="仿宋_GB2312" w:hAnsi="仿宋_GB2312" w:cs="仿宋_GB2312" w:hint="eastAsia"/>
          <w:color w:val="000000" w:themeColor="text1"/>
          <w:szCs w:val="32"/>
        </w:rPr>
        <w:t>加快建设嘉庚创新实验室等高质量人才基地，集群化布局新型研发机构、科技企业孵化器等高能级载体，打造集科技成果转化、创新创业孵化为一体的人才基地。鼓励企业建立有效的人才培养与激励机制，引导企业将研发投入、知识产权、创新平台与人才培育有机结合。深化产教融合，加强校企合作，积极推动企业联合高校院所、技校开展学徒制、“订单式”人才培养。</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Ansi="仿宋_GB2312" w:cs="仿宋_GB2312" w:hint="eastAsia"/>
          <w:b/>
          <w:bCs/>
          <w:color w:val="000000" w:themeColor="text1"/>
          <w:szCs w:val="32"/>
        </w:rPr>
        <w:t>3.优化人才发展环境。</w:t>
      </w:r>
      <w:r>
        <w:rPr>
          <w:rFonts w:ascii="仿宋_GB2312" w:eastAsia="仿宋_GB2312" w:hAnsi="仿宋_GB2312" w:cs="仿宋_GB2312" w:hint="eastAsia"/>
          <w:color w:val="000000" w:themeColor="text1"/>
          <w:szCs w:val="32"/>
        </w:rPr>
        <w:t>分层分类构建人才安居新体系，综合运用公租房、保障性租赁住房、共有产权房、购房租房补贴等方式加强各类人才住房保障。加快托幼、家政、文化、体育等生活服务配套建设，为人才提供优质生活软环境。积极解决人才子女入学、配偶安置、医疗健康等切实利益问题。加快岛外交通、教育、医疗、消费等配套设施建设，以更优环境吸引优秀人才。</w:t>
      </w:r>
    </w:p>
    <w:p w:rsidR="00CE1A11" w:rsidRDefault="003B6665" w:rsidP="008D767D">
      <w:pPr>
        <w:pStyle w:val="2"/>
        <w:numPr>
          <w:ilvl w:val="0"/>
          <w:numId w:val="0"/>
        </w:numPr>
        <w:adjustRightInd w:val="0"/>
        <w:snapToGrid w:val="0"/>
        <w:ind w:firstLineChars="200" w:firstLine="643"/>
        <w:jc w:val="both"/>
        <w:rPr>
          <w:rFonts w:ascii="仿宋_GB2312" w:eastAsia="楷体_GB2312" w:hAnsi="仿宋_GB2312" w:cs="仿宋_GB2312" w:hint="default"/>
          <w:b/>
          <w:bCs/>
          <w:color w:val="000000" w:themeColor="text1"/>
        </w:rPr>
      </w:pPr>
      <w:bookmarkStart w:id="99" w:name="_Toc102423778"/>
      <w:bookmarkStart w:id="100" w:name="_Toc133591388"/>
      <w:bookmarkStart w:id="101" w:name="_Toc692879859"/>
      <w:r>
        <w:rPr>
          <w:rFonts w:ascii="楷体_GB2312" w:eastAsia="楷体_GB2312" w:hAnsi="楷体_GB2312" w:cs="楷体_GB2312"/>
          <w:b/>
          <w:bCs/>
          <w:color w:val="000000" w:themeColor="text1"/>
        </w:rPr>
        <w:t>（五）深化服务业改革开放</w:t>
      </w:r>
      <w:bookmarkEnd w:id="98"/>
      <w:bookmarkEnd w:id="99"/>
      <w:bookmarkEnd w:id="100"/>
      <w:bookmarkEnd w:id="101"/>
      <w:r>
        <w:rPr>
          <w:rFonts w:ascii="楷体_GB2312" w:eastAsia="楷体_GB2312" w:hAnsi="楷体_GB2312" w:cs="楷体_GB2312"/>
          <w:b/>
          <w:bCs/>
          <w:color w:val="000000" w:themeColor="text1"/>
        </w:rPr>
        <w:t>工程</w:t>
      </w:r>
    </w:p>
    <w:p w:rsidR="00CE1A11" w:rsidRDefault="003B6665" w:rsidP="008D767D">
      <w:pPr>
        <w:adjustRightInd w:val="0"/>
        <w:snapToGrid w:val="0"/>
        <w:spacing w:after="0" w:line="600" w:lineRule="exact"/>
        <w:ind w:firstLineChars="200" w:firstLine="643"/>
        <w:rPr>
          <w:rFonts w:ascii="仿宋_GB2312" w:eastAsia="仿宋_GB2312"/>
          <w:b/>
          <w:color w:val="000000" w:themeColor="text1"/>
          <w:szCs w:val="32"/>
        </w:rPr>
      </w:pPr>
      <w:r>
        <w:rPr>
          <w:rFonts w:ascii="仿宋_GB2312" w:eastAsia="仿宋_GB2312" w:hint="eastAsia"/>
          <w:b/>
          <w:color w:val="000000" w:themeColor="text1"/>
          <w:szCs w:val="32"/>
        </w:rPr>
        <w:t>1.进一步放宽服务领域市场准入。</w:t>
      </w:r>
      <w:r>
        <w:rPr>
          <w:rFonts w:ascii="仿宋_GB2312" w:eastAsia="仿宋_GB2312" w:hint="eastAsia"/>
          <w:color w:val="000000" w:themeColor="text1"/>
          <w:szCs w:val="32"/>
        </w:rPr>
        <w:t>建立平等规范、公开透明的市场准入标准，凡是法律法规及国家规定没有明令禁入的服务领域，均向社会资本开放。探索破解投资领域的“玻璃门”、“弹簧门”，促进投资便利化。积极落实国家建设全国统一大市场的部署，鼓励和引导各类资本投向服务业，在投资核准、融资服务、财税政策、土地使用、对外贸易和经济技术合作等方面，对各类投资主体同等对待，建立统一开放、竞争有序的服务市场。</w:t>
      </w:r>
    </w:p>
    <w:p w:rsidR="00CE1A11" w:rsidRDefault="003B6665" w:rsidP="008D767D">
      <w:pPr>
        <w:adjustRightInd w:val="0"/>
        <w:snapToGrid w:val="0"/>
        <w:spacing w:after="0" w:line="600" w:lineRule="exact"/>
        <w:ind w:firstLineChars="200" w:firstLine="643"/>
        <w:rPr>
          <w:rFonts w:ascii="仿宋_GB2312" w:eastAsia="仿宋_GB2312"/>
          <w:color w:val="000000" w:themeColor="text1"/>
          <w:szCs w:val="32"/>
        </w:rPr>
      </w:pPr>
      <w:r>
        <w:rPr>
          <w:rFonts w:ascii="仿宋_GB2312" w:eastAsia="仿宋_GB2312" w:hint="eastAsia"/>
          <w:b/>
          <w:color w:val="000000" w:themeColor="text1"/>
          <w:szCs w:val="32"/>
        </w:rPr>
        <w:lastRenderedPageBreak/>
        <w:t>2.构建动态包容的审慎监管制度。</w:t>
      </w:r>
      <w:r>
        <w:rPr>
          <w:rFonts w:ascii="仿宋_GB2312" w:eastAsia="仿宋_GB2312" w:hint="eastAsia"/>
          <w:color w:val="000000" w:themeColor="text1"/>
          <w:szCs w:val="32"/>
        </w:rPr>
        <w:t>加快建立适应服务业新业态新模式发展的部门协同、区域协同、市区协同机制。开展以信用为基础的分级分类监管。推进“互联网+监管”,开展信息监测、在线证据保全、在线识别、源头追溯,增强对行业风险和违法违规线索的发现识别能力,实现以网管网、线上线下一体化监管。以开放包容的监管服务对待新产业、新业态、新模式,变“事前设限”为“事中划线”“事后监管”。</w:t>
      </w:r>
      <w:r>
        <w:rPr>
          <w:rFonts w:ascii="仿宋_GB2312" w:eastAsia="仿宋_GB2312" w:hAnsi="仿宋_GB2312" w:cs="仿宋_GB2312" w:hint="eastAsia"/>
          <w:color w:val="000000" w:themeColor="text1"/>
          <w:szCs w:val="32"/>
        </w:rPr>
        <w:t>加强平台经济科学有效监管，维护市场公平竞争环境。</w:t>
      </w:r>
      <w:r>
        <w:rPr>
          <w:rFonts w:ascii="仿宋_GB2312" w:eastAsia="仿宋_GB2312" w:hint="eastAsia"/>
          <w:color w:val="000000" w:themeColor="text1"/>
          <w:szCs w:val="32"/>
        </w:rPr>
        <w:t>给予新设立的新经济企业一定观察期。</w:t>
      </w:r>
    </w:p>
    <w:p w:rsidR="00CE1A11" w:rsidRDefault="003B6665" w:rsidP="008D767D">
      <w:pPr>
        <w:adjustRightInd w:val="0"/>
        <w:snapToGrid w:val="0"/>
        <w:spacing w:after="0" w:line="600" w:lineRule="exact"/>
        <w:ind w:firstLineChars="200" w:firstLine="643"/>
        <w:rPr>
          <w:rFonts w:ascii="仿宋_GB2312" w:eastAsia="仿宋_GB2312"/>
          <w:color w:val="000000" w:themeColor="text1"/>
          <w:szCs w:val="32"/>
        </w:rPr>
      </w:pPr>
      <w:r>
        <w:rPr>
          <w:rFonts w:ascii="仿宋_GB2312" w:eastAsia="仿宋_GB2312" w:hint="eastAsia"/>
          <w:b/>
          <w:color w:val="000000" w:themeColor="text1"/>
          <w:szCs w:val="32"/>
        </w:rPr>
        <w:t>3.加快公共服务领域改革。</w:t>
      </w:r>
      <w:r>
        <w:rPr>
          <w:rFonts w:ascii="仿宋_GB2312" w:eastAsia="仿宋_GB2312" w:hint="eastAsia"/>
          <w:color w:val="000000" w:themeColor="text1"/>
          <w:szCs w:val="32"/>
        </w:rPr>
        <w:t>分类推进公共服务供给市场化改革，完善公共资源交易平台功能。鼓励和引导社会力量参与教育、文化艺术、广播影视、新闻出版、医疗卫生、体育、知识产权、检验检测等公共服务领域建设，增加公共服务市场有效供给。支持行业协会商会加强自我发展能力建设，完善社会组织、行业协会法律法规和政策体系，健全社会组织内部治理结构，推动政府向社会组织开放更多的公共资源和领域。</w:t>
      </w:r>
    </w:p>
    <w:p w:rsidR="00CE1A11" w:rsidRDefault="003B6665" w:rsidP="008D767D">
      <w:pPr>
        <w:adjustRightInd w:val="0"/>
        <w:snapToGrid w:val="0"/>
        <w:spacing w:after="0" w:line="600" w:lineRule="exact"/>
        <w:ind w:firstLineChars="200" w:firstLine="643"/>
        <w:rPr>
          <w:rFonts w:ascii="仿宋_GB2312" w:eastAsia="仿宋_GB2312" w:hAnsi="仿宋_GB2312" w:cs="仿宋_GB2312"/>
          <w:color w:val="000000" w:themeColor="text1"/>
          <w:szCs w:val="32"/>
        </w:rPr>
      </w:pPr>
      <w:r>
        <w:rPr>
          <w:rFonts w:ascii="仿宋_GB2312" w:eastAsia="仿宋_GB2312" w:hint="eastAsia"/>
          <w:b/>
          <w:color w:val="000000" w:themeColor="text1"/>
          <w:szCs w:val="32"/>
        </w:rPr>
        <w:t>4.提升服务业开放水平。</w:t>
      </w:r>
      <w:r>
        <w:rPr>
          <w:rFonts w:ascii="仿宋_GB2312" w:eastAsia="仿宋_GB2312" w:hint="eastAsia"/>
          <w:color w:val="000000" w:themeColor="text1"/>
          <w:szCs w:val="32"/>
        </w:rPr>
        <w:t>全面对接国家“一带一路”战略，充分利用多层次区域合作叠加优势，协同推动服务业扩大开放与区域合作，</w:t>
      </w:r>
      <w:r>
        <w:rPr>
          <w:rFonts w:ascii="仿宋_GB2312" w:eastAsia="仿宋_GB2312"/>
          <w:color w:val="000000" w:themeColor="text1"/>
          <w:szCs w:val="32"/>
        </w:rPr>
        <w:t>构建更加适应开放型服务经济发展需求的体制机制</w:t>
      </w:r>
      <w:r>
        <w:rPr>
          <w:rFonts w:ascii="仿宋_GB2312" w:eastAsia="仿宋_GB2312" w:hint="eastAsia"/>
          <w:color w:val="000000" w:themeColor="text1"/>
          <w:szCs w:val="32"/>
        </w:rPr>
        <w:t>。依托自由贸易试验区逐步推动金融、教育、文化、医疗等服务领域有序开放，探索放开育幼养老等服务业领域外资准入限制。</w:t>
      </w:r>
      <w:r>
        <w:rPr>
          <w:rFonts w:ascii="仿宋_GB2312" w:eastAsia="仿宋_GB2312" w:hAnsi="仿宋_GB2312" w:cs="仿宋_GB2312" w:hint="eastAsia"/>
          <w:color w:val="000000" w:themeColor="text1"/>
          <w:szCs w:val="32"/>
        </w:rPr>
        <w:t>在国际贸易、跨境投资、特色金融、数字经济等现代服务业重点领域，研究对接</w:t>
      </w:r>
      <w:r>
        <w:rPr>
          <w:rFonts w:ascii="仿宋_GB2312" w:eastAsia="仿宋_GB2312" w:hint="eastAsia"/>
          <w:color w:val="000000" w:themeColor="text1"/>
          <w:szCs w:val="32"/>
        </w:rPr>
        <w:t>《区域全面经济伙伴关系协定》</w:t>
      </w:r>
      <w:r>
        <w:rPr>
          <w:rFonts w:ascii="仿宋_GB2312" w:eastAsia="仿宋_GB2312" w:hAnsi="仿宋_GB2312" w:cs="仿宋_GB2312" w:hint="eastAsia"/>
          <w:color w:val="000000" w:themeColor="text1"/>
          <w:szCs w:val="32"/>
        </w:rPr>
        <w:t>（RCEP）、《全面</w:t>
      </w:r>
      <w:r>
        <w:rPr>
          <w:rFonts w:ascii="仿宋_GB2312" w:eastAsia="仿宋_GB2312" w:hAnsi="仿宋_GB2312" w:cs="仿宋_GB2312" w:hint="eastAsia"/>
          <w:color w:val="000000" w:themeColor="text1"/>
          <w:szCs w:val="32"/>
        </w:rPr>
        <w:lastRenderedPageBreak/>
        <w:t>与进步跨太平洋伙伴关系协定》（CPTPP）、《数字经济伙伴关系协定》(DEPA)等经济合作协定的规则，持续滚动开展一批先行先试政策试点。</w:t>
      </w:r>
    </w:p>
    <w:p w:rsidR="00CE1A11" w:rsidRDefault="00CE1A11">
      <w:pPr>
        <w:snapToGrid w:val="0"/>
        <w:spacing w:after="0" w:line="590" w:lineRule="exact"/>
        <w:ind w:firstLineChars="200" w:firstLine="640"/>
        <w:rPr>
          <w:rFonts w:ascii="仿宋_GB2312" w:eastAsia="仿宋_GB2312" w:hAnsi="仿宋_GB2312" w:cs="仿宋_GB2312"/>
          <w:color w:val="000000" w:themeColor="text1"/>
          <w:szCs w:val="32"/>
        </w:rPr>
      </w:pPr>
    </w:p>
    <w:sectPr w:rsidR="00CE1A11" w:rsidSect="00CE1A11">
      <w:footerReference w:type="default" r:id="rId9"/>
      <w:pgSz w:w="11906" w:h="16838"/>
      <w:pgMar w:top="1440" w:right="1531" w:bottom="1440" w:left="153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61C" w:rsidRDefault="0030261C" w:rsidP="00CE1A11">
      <w:pPr>
        <w:spacing w:after="0" w:line="240" w:lineRule="auto"/>
      </w:pPr>
      <w:r>
        <w:separator/>
      </w:r>
    </w:p>
  </w:endnote>
  <w:endnote w:type="continuationSeparator" w:id="1">
    <w:p w:rsidR="0030261C" w:rsidRDefault="0030261C" w:rsidP="00CE1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00000000"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Georgia">
    <w:panose1 w:val="02040502050405020303"/>
    <w:charset w:val="00"/>
    <w:family w:val="roman"/>
    <w:pitch w:val="default"/>
    <w:sig w:usb0="00000287" w:usb1="00000000" w:usb2="00000000" w:usb3="00000000" w:csb0="2000009F" w:csb1="00000000"/>
  </w:font>
  <w:font w:name="等线 Light">
    <w:altName w:val="宋体"/>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18030">
    <w:altName w:val="仿宋"/>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99502"/>
    </w:sdtPr>
    <w:sdtContent>
      <w:p w:rsidR="00CE1A11" w:rsidRDefault="007545A0">
        <w:pPr>
          <w:pStyle w:val="a9"/>
          <w:jc w:val="center"/>
        </w:pPr>
        <w:r>
          <w:rPr>
            <w:rFonts w:ascii="Times New Roman" w:hAnsi="Times New Roman" w:cs="Times New Roman"/>
            <w:sz w:val="21"/>
            <w:szCs w:val="21"/>
          </w:rPr>
          <w:fldChar w:fldCharType="begin"/>
        </w:r>
        <w:r w:rsidR="003B6665">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551312" w:rsidRPr="00551312">
          <w:rPr>
            <w:rFonts w:ascii="Times New Roman" w:hAnsi="Times New Roman" w:cs="Times New Roman"/>
            <w:noProof/>
            <w:sz w:val="21"/>
            <w:szCs w:val="21"/>
            <w:lang w:val="zh-CN"/>
          </w:rPr>
          <w:t>1</w:t>
        </w:r>
        <w:r>
          <w:rPr>
            <w:rFonts w:ascii="Times New Roman" w:hAnsi="Times New Roman" w:cs="Times New Roman"/>
            <w:sz w:val="21"/>
            <w:szCs w:val="21"/>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11" w:rsidRDefault="007545A0">
    <w:pPr>
      <w:pStyle w:val="a9"/>
    </w:pPr>
    <w:r>
      <w:pict>
        <v:shapetype id="_x0000_t202" coordsize="21600,21600" o:spt="202" path="m,l,21600r21600,l21600,xe">
          <v:stroke joinstyle="miter"/>
          <v:path gradientshapeok="t" o:connecttype="rect"/>
        </v:shapetype>
        <v:shape id="_x0000_s3074" type="#_x0000_t202" style="position:absolute;margin-left:0;margin-top:0;width:2in;height:2in;z-index:251658240;mso-wrap-style:none;mso-position-horizontal:center;mso-position-horizontal-relative:margin" filled="f" stroked="f">
          <v:textbox style="mso-fit-shape-to-text:t" inset="0,0,0,0">
            <w:txbxContent>
              <w:p w:rsidR="00CE1A11" w:rsidRDefault="007545A0">
                <w:pPr>
                  <w:pStyle w:val="a9"/>
                  <w:rPr>
                    <w:rFonts w:ascii="Times New Roman" w:hAnsi="Times New Roman" w:cs="Times New Roman"/>
                    <w:sz w:val="21"/>
                    <w:szCs w:val="21"/>
                  </w:rPr>
                </w:pPr>
                <w:r>
                  <w:rPr>
                    <w:rFonts w:ascii="Times New Roman" w:hAnsi="Times New Roman" w:cs="Times New Roman"/>
                    <w:sz w:val="21"/>
                    <w:szCs w:val="21"/>
                  </w:rPr>
                  <w:fldChar w:fldCharType="begin"/>
                </w:r>
                <w:r w:rsidR="003B6665">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C82A04">
                  <w:rPr>
                    <w:rFonts w:ascii="Times New Roman" w:hAnsi="Times New Roman" w:cs="Times New Roman"/>
                    <w:noProof/>
                    <w:sz w:val="21"/>
                    <w:szCs w:val="21"/>
                  </w:rPr>
                  <w:t>2</w:t>
                </w:r>
                <w:r>
                  <w:rPr>
                    <w:rFonts w:ascii="Times New Roman" w:hAnsi="Times New Roman" w:cs="Times New Roman"/>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61C" w:rsidRDefault="0030261C" w:rsidP="00CE1A11">
      <w:pPr>
        <w:spacing w:after="0" w:line="240" w:lineRule="auto"/>
      </w:pPr>
      <w:r>
        <w:separator/>
      </w:r>
    </w:p>
  </w:footnote>
  <w:footnote w:type="continuationSeparator" w:id="1">
    <w:p w:rsidR="0030261C" w:rsidRDefault="0030261C" w:rsidP="00CE1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765BC"/>
    <w:multiLevelType w:val="multilevel"/>
    <w:tmpl w:val="243765BC"/>
    <w:lvl w:ilvl="0">
      <w:start w:val="1"/>
      <w:numFmt w:val="japaneseCounting"/>
      <w:pStyle w:val="1"/>
      <w:lvlText w:val="%1、"/>
      <w:lvlJc w:val="left"/>
      <w:pPr>
        <w:ind w:left="0" w:hanging="870"/>
      </w:pPr>
    </w:lvl>
    <w:lvl w:ilvl="1">
      <w:start w:val="1"/>
      <w:numFmt w:val="japaneseCounting"/>
      <w:lvlText w:val="（%2）"/>
      <w:lvlJc w:val="left"/>
      <w:pPr>
        <w:ind w:left="630" w:hanging="1080"/>
      </w:pPr>
    </w:lvl>
    <w:lvl w:ilvl="2">
      <w:start w:val="1"/>
      <w:numFmt w:val="lowerRoman"/>
      <w:lvlText w:val="%3."/>
      <w:lvlJc w:val="right"/>
      <w:pPr>
        <w:ind w:left="390" w:hanging="420"/>
      </w:pPr>
    </w:lvl>
    <w:lvl w:ilvl="3">
      <w:start w:val="1"/>
      <w:numFmt w:val="decimal"/>
      <w:lvlText w:val="%4."/>
      <w:lvlJc w:val="left"/>
      <w:pPr>
        <w:ind w:left="810" w:hanging="420"/>
      </w:pPr>
    </w:lvl>
    <w:lvl w:ilvl="4">
      <w:start w:val="1"/>
      <w:numFmt w:val="lowerLetter"/>
      <w:lvlText w:val="%5)"/>
      <w:lvlJc w:val="left"/>
      <w:pPr>
        <w:ind w:left="1230" w:hanging="420"/>
      </w:pPr>
    </w:lvl>
    <w:lvl w:ilvl="5">
      <w:start w:val="1"/>
      <w:numFmt w:val="lowerRoman"/>
      <w:lvlText w:val="%6."/>
      <w:lvlJc w:val="right"/>
      <w:pPr>
        <w:ind w:left="1650" w:hanging="420"/>
      </w:pPr>
    </w:lvl>
    <w:lvl w:ilvl="6">
      <w:start w:val="1"/>
      <w:numFmt w:val="decimal"/>
      <w:lvlText w:val="%7."/>
      <w:lvlJc w:val="left"/>
      <w:pPr>
        <w:ind w:left="2070" w:hanging="420"/>
      </w:pPr>
    </w:lvl>
    <w:lvl w:ilvl="7">
      <w:start w:val="1"/>
      <w:numFmt w:val="lowerLetter"/>
      <w:lvlText w:val="%8)"/>
      <w:lvlJc w:val="left"/>
      <w:pPr>
        <w:ind w:left="2490" w:hanging="420"/>
      </w:pPr>
    </w:lvl>
    <w:lvl w:ilvl="8">
      <w:start w:val="1"/>
      <w:numFmt w:val="lowerRoman"/>
      <w:lvlText w:val="%9."/>
      <w:lvlJc w:val="right"/>
      <w:pPr>
        <w:ind w:left="2910" w:hanging="420"/>
      </w:pPr>
    </w:lvl>
  </w:abstractNum>
  <w:abstractNum w:abstractNumId="1">
    <w:nsid w:val="3420C289"/>
    <w:multiLevelType w:val="multilevel"/>
    <w:tmpl w:val="3420C289"/>
    <w:lvl w:ilvl="0">
      <w:start w:val="1"/>
      <w:numFmt w:val="japaneseCounting"/>
      <w:pStyle w:val="2"/>
      <w:lvlText w:val="（%1）"/>
      <w:lvlJc w:val="left"/>
      <w:pPr>
        <w:ind w:left="1080" w:hanging="1080"/>
      </w:pPr>
      <w:rPr>
        <w:rFonts w:asciiTheme="minorEastAsia" w:eastAsiaTheme="minorEastAsia" w:hAnsiTheme="minorEastAsia"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HorizontalSpacing w:val="160"/>
  <w:drawingGridVerticalSpacing w:val="435"/>
  <w:displayHorizontalDrawingGridEvery w:val="2"/>
  <w:noPunctuationKerning/>
  <w:characterSpacingControl w:val="compressPunctuation"/>
  <w:hdrShapeDefaults>
    <o:shapedefaults v:ext="edit" spidmax="921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Q0NDlmYzdlYjY1ZjA0ZTgzYTBhMDIxNWZhYTFkYWYifQ=="/>
  </w:docVars>
  <w:rsids>
    <w:rsidRoot w:val="00D179C0"/>
    <w:rsid w:val="99FE9860"/>
    <w:rsid w:val="9BEF7E9B"/>
    <w:rsid w:val="9DBF50EA"/>
    <w:rsid w:val="9EDF6FDD"/>
    <w:rsid w:val="9F3C8A91"/>
    <w:rsid w:val="9F424A04"/>
    <w:rsid w:val="9F5FB24F"/>
    <w:rsid w:val="9FBC6972"/>
    <w:rsid w:val="9FBF7D83"/>
    <w:rsid w:val="9FD3944B"/>
    <w:rsid w:val="A7BF1D43"/>
    <w:rsid w:val="ABEBE346"/>
    <w:rsid w:val="ADBFC90B"/>
    <w:rsid w:val="AE7E0A76"/>
    <w:rsid w:val="AEEEEB77"/>
    <w:rsid w:val="AEEFBD68"/>
    <w:rsid w:val="AEF71B35"/>
    <w:rsid w:val="AEFA54BE"/>
    <w:rsid w:val="AFF7617B"/>
    <w:rsid w:val="AFFE00CD"/>
    <w:rsid w:val="B1D74B27"/>
    <w:rsid w:val="B3DE72E3"/>
    <w:rsid w:val="B3FF6AE7"/>
    <w:rsid w:val="B667A3E7"/>
    <w:rsid w:val="B7BFEB0E"/>
    <w:rsid w:val="B7FFFF5B"/>
    <w:rsid w:val="B9DB8FF9"/>
    <w:rsid w:val="BAE886A2"/>
    <w:rsid w:val="BAF63CE7"/>
    <w:rsid w:val="BBB74315"/>
    <w:rsid w:val="BBDBC7ED"/>
    <w:rsid w:val="BC4F6F4B"/>
    <w:rsid w:val="BDFF0671"/>
    <w:rsid w:val="BEDD7B7E"/>
    <w:rsid w:val="BEE68199"/>
    <w:rsid w:val="BEEF9BC6"/>
    <w:rsid w:val="BEF65152"/>
    <w:rsid w:val="BF765BC3"/>
    <w:rsid w:val="BF7B94F2"/>
    <w:rsid w:val="BF99AB6F"/>
    <w:rsid w:val="BFAFDE66"/>
    <w:rsid w:val="BFB7C3C0"/>
    <w:rsid w:val="BFBFC444"/>
    <w:rsid w:val="BFDC5CC9"/>
    <w:rsid w:val="BFDFC61E"/>
    <w:rsid w:val="BFDFD9BE"/>
    <w:rsid w:val="BFEAC085"/>
    <w:rsid w:val="BFF9A1CE"/>
    <w:rsid w:val="C9DDE694"/>
    <w:rsid w:val="C9FDBA77"/>
    <w:rsid w:val="CA7F5C09"/>
    <w:rsid w:val="CA9EF0CB"/>
    <w:rsid w:val="CBD938A2"/>
    <w:rsid w:val="CDBF3F59"/>
    <w:rsid w:val="CDD53DB9"/>
    <w:rsid w:val="CEB3E155"/>
    <w:rsid w:val="CF591620"/>
    <w:rsid w:val="CF5B38C5"/>
    <w:rsid w:val="CF6D63EA"/>
    <w:rsid w:val="CFB7CFC7"/>
    <w:rsid w:val="CFEC0ADB"/>
    <w:rsid w:val="CFFDB5A1"/>
    <w:rsid w:val="D1FFD4AB"/>
    <w:rsid w:val="D35F2AC6"/>
    <w:rsid w:val="D3AE3338"/>
    <w:rsid w:val="D3DBC442"/>
    <w:rsid w:val="D5DBD2A1"/>
    <w:rsid w:val="D75F3FF9"/>
    <w:rsid w:val="D77F49AF"/>
    <w:rsid w:val="D7BFADD8"/>
    <w:rsid w:val="D7FDB19B"/>
    <w:rsid w:val="D7FF9F14"/>
    <w:rsid w:val="D9DABD0A"/>
    <w:rsid w:val="DA3D4855"/>
    <w:rsid w:val="DAF9CA3E"/>
    <w:rsid w:val="DB771F3A"/>
    <w:rsid w:val="DBEF44EF"/>
    <w:rsid w:val="DBF3341B"/>
    <w:rsid w:val="DBFBA77A"/>
    <w:rsid w:val="DBFF6A2E"/>
    <w:rsid w:val="DBFF979C"/>
    <w:rsid w:val="DC3F4E12"/>
    <w:rsid w:val="DC77DFEB"/>
    <w:rsid w:val="DDE57C6C"/>
    <w:rsid w:val="DDF69316"/>
    <w:rsid w:val="DDFC99AE"/>
    <w:rsid w:val="DE7DB597"/>
    <w:rsid w:val="DEFFDFC5"/>
    <w:rsid w:val="DF3B3CCE"/>
    <w:rsid w:val="DF5BDA6B"/>
    <w:rsid w:val="DF7D4C97"/>
    <w:rsid w:val="DF7DB97D"/>
    <w:rsid w:val="DF7FD22A"/>
    <w:rsid w:val="DFA7941A"/>
    <w:rsid w:val="DFED9769"/>
    <w:rsid w:val="DFF3B708"/>
    <w:rsid w:val="DFFC5977"/>
    <w:rsid w:val="DFFDCD2C"/>
    <w:rsid w:val="DFFEE89F"/>
    <w:rsid w:val="E6DFBC0C"/>
    <w:rsid w:val="E73E4385"/>
    <w:rsid w:val="E75B35A4"/>
    <w:rsid w:val="E7730A90"/>
    <w:rsid w:val="E7BCD64F"/>
    <w:rsid w:val="E7CFC626"/>
    <w:rsid w:val="E7FB671B"/>
    <w:rsid w:val="E7FBF28A"/>
    <w:rsid w:val="E7FC6DB5"/>
    <w:rsid w:val="E9F23BEC"/>
    <w:rsid w:val="EAF1FB5C"/>
    <w:rsid w:val="EAFFFEFD"/>
    <w:rsid w:val="EBCF8B59"/>
    <w:rsid w:val="EBE54599"/>
    <w:rsid w:val="ED5F6824"/>
    <w:rsid w:val="ED6B3AD7"/>
    <w:rsid w:val="ED920591"/>
    <w:rsid w:val="EDCAE8E7"/>
    <w:rsid w:val="EDCFFD70"/>
    <w:rsid w:val="EEEA2136"/>
    <w:rsid w:val="EEFB8935"/>
    <w:rsid w:val="EEFD85E2"/>
    <w:rsid w:val="EEFDAD0C"/>
    <w:rsid w:val="EF3A7893"/>
    <w:rsid w:val="EF6F4899"/>
    <w:rsid w:val="EF7570DB"/>
    <w:rsid w:val="EF8F75E7"/>
    <w:rsid w:val="EFA7A5D7"/>
    <w:rsid w:val="EFBE6100"/>
    <w:rsid w:val="EFBF2600"/>
    <w:rsid w:val="EFBF8FEC"/>
    <w:rsid w:val="EFD39DDF"/>
    <w:rsid w:val="EFEE6CF9"/>
    <w:rsid w:val="EFF5807C"/>
    <w:rsid w:val="EFFE56EF"/>
    <w:rsid w:val="EFFFA232"/>
    <w:rsid w:val="EFFFAAA5"/>
    <w:rsid w:val="F14EEDAA"/>
    <w:rsid w:val="F1DB897D"/>
    <w:rsid w:val="F1EDD55E"/>
    <w:rsid w:val="F29F57C3"/>
    <w:rsid w:val="F2DD5BFB"/>
    <w:rsid w:val="F2FFADDA"/>
    <w:rsid w:val="F3B3BC15"/>
    <w:rsid w:val="F3FC36D0"/>
    <w:rsid w:val="F4C7F695"/>
    <w:rsid w:val="F4DF0057"/>
    <w:rsid w:val="F536F4D9"/>
    <w:rsid w:val="F5374BB3"/>
    <w:rsid w:val="F56D24F4"/>
    <w:rsid w:val="F5959CA8"/>
    <w:rsid w:val="F5D79034"/>
    <w:rsid w:val="F5DF9681"/>
    <w:rsid w:val="F5FFF1FE"/>
    <w:rsid w:val="F66D9ED5"/>
    <w:rsid w:val="F6FB2029"/>
    <w:rsid w:val="F6FFE64D"/>
    <w:rsid w:val="F75F726C"/>
    <w:rsid w:val="F76BC5DC"/>
    <w:rsid w:val="F7B688BA"/>
    <w:rsid w:val="F7DF4887"/>
    <w:rsid w:val="F7EB19C8"/>
    <w:rsid w:val="F7FE8D3F"/>
    <w:rsid w:val="F7FF3C91"/>
    <w:rsid w:val="F8DF94F6"/>
    <w:rsid w:val="F8FA7627"/>
    <w:rsid w:val="F9F5A42D"/>
    <w:rsid w:val="F9FE2179"/>
    <w:rsid w:val="F9FF4C0A"/>
    <w:rsid w:val="FA4F44ED"/>
    <w:rsid w:val="FA4F70DF"/>
    <w:rsid w:val="FA7F755A"/>
    <w:rsid w:val="FA9FB366"/>
    <w:rsid w:val="FADB3458"/>
    <w:rsid w:val="FAF2B789"/>
    <w:rsid w:val="FAFCA5CC"/>
    <w:rsid w:val="FB7B7056"/>
    <w:rsid w:val="FB7E52AC"/>
    <w:rsid w:val="FBBAC02E"/>
    <w:rsid w:val="FBEDA703"/>
    <w:rsid w:val="FBF46D0E"/>
    <w:rsid w:val="FBF5FA7D"/>
    <w:rsid w:val="FBFCC948"/>
    <w:rsid w:val="FC7F0B46"/>
    <w:rsid w:val="FC9A687B"/>
    <w:rsid w:val="FCABC4A3"/>
    <w:rsid w:val="FCBD0948"/>
    <w:rsid w:val="FCBFD6CA"/>
    <w:rsid w:val="FD3F8F42"/>
    <w:rsid w:val="FD5CB151"/>
    <w:rsid w:val="FD671AB4"/>
    <w:rsid w:val="FD6D25B7"/>
    <w:rsid w:val="FD7EAE59"/>
    <w:rsid w:val="FD9F2528"/>
    <w:rsid w:val="FD9FB81C"/>
    <w:rsid w:val="FD9FBD3F"/>
    <w:rsid w:val="FDB3B0E0"/>
    <w:rsid w:val="FDB92602"/>
    <w:rsid w:val="FDBB419E"/>
    <w:rsid w:val="FDEE0F28"/>
    <w:rsid w:val="FDFE837D"/>
    <w:rsid w:val="FE16A8D5"/>
    <w:rsid w:val="FE2D5A5E"/>
    <w:rsid w:val="FE6778AA"/>
    <w:rsid w:val="FE7F0AAA"/>
    <w:rsid w:val="FE9D758A"/>
    <w:rsid w:val="FEB360C4"/>
    <w:rsid w:val="FEBB046C"/>
    <w:rsid w:val="FEBF4F66"/>
    <w:rsid w:val="FEBFA6B5"/>
    <w:rsid w:val="FEDF68D4"/>
    <w:rsid w:val="FEEFED61"/>
    <w:rsid w:val="FF3FEE5A"/>
    <w:rsid w:val="FF5EABB2"/>
    <w:rsid w:val="FF6FBE3F"/>
    <w:rsid w:val="FF718500"/>
    <w:rsid w:val="FF774165"/>
    <w:rsid w:val="FF7A3B89"/>
    <w:rsid w:val="FF7D3FD8"/>
    <w:rsid w:val="FF7EAB38"/>
    <w:rsid w:val="FF7F29DF"/>
    <w:rsid w:val="FF7F3334"/>
    <w:rsid w:val="FFBBBCD9"/>
    <w:rsid w:val="FFBFF03E"/>
    <w:rsid w:val="FFCB60C7"/>
    <w:rsid w:val="FFD5E40C"/>
    <w:rsid w:val="FFDB2FCD"/>
    <w:rsid w:val="FFDB9993"/>
    <w:rsid w:val="FFDF480B"/>
    <w:rsid w:val="FFDFFE94"/>
    <w:rsid w:val="FFEEBE90"/>
    <w:rsid w:val="FFEFA600"/>
    <w:rsid w:val="FFEFCD03"/>
    <w:rsid w:val="FFEFE2B5"/>
    <w:rsid w:val="FFF1A6F1"/>
    <w:rsid w:val="FFF4734E"/>
    <w:rsid w:val="FFF77587"/>
    <w:rsid w:val="FFF78F15"/>
    <w:rsid w:val="FFFA11EC"/>
    <w:rsid w:val="FFFB3A9F"/>
    <w:rsid w:val="FFFF0FEF"/>
    <w:rsid w:val="00000CD3"/>
    <w:rsid w:val="00000EBC"/>
    <w:rsid w:val="00001627"/>
    <w:rsid w:val="000016C0"/>
    <w:rsid w:val="00001D94"/>
    <w:rsid w:val="0000541F"/>
    <w:rsid w:val="0001150B"/>
    <w:rsid w:val="00011920"/>
    <w:rsid w:val="00011D19"/>
    <w:rsid w:val="00012F47"/>
    <w:rsid w:val="00013BAE"/>
    <w:rsid w:val="00015A51"/>
    <w:rsid w:val="00015CCD"/>
    <w:rsid w:val="000172DD"/>
    <w:rsid w:val="0001798C"/>
    <w:rsid w:val="00022834"/>
    <w:rsid w:val="000232A1"/>
    <w:rsid w:val="00023B19"/>
    <w:rsid w:val="00024D79"/>
    <w:rsid w:val="00025725"/>
    <w:rsid w:val="00026904"/>
    <w:rsid w:val="00026A5F"/>
    <w:rsid w:val="00030624"/>
    <w:rsid w:val="00030818"/>
    <w:rsid w:val="000315EF"/>
    <w:rsid w:val="00032B5A"/>
    <w:rsid w:val="00032E4F"/>
    <w:rsid w:val="0003331B"/>
    <w:rsid w:val="00033909"/>
    <w:rsid w:val="00033E3F"/>
    <w:rsid w:val="000345C4"/>
    <w:rsid w:val="000354F1"/>
    <w:rsid w:val="0003748C"/>
    <w:rsid w:val="000433AE"/>
    <w:rsid w:val="00046D22"/>
    <w:rsid w:val="00055665"/>
    <w:rsid w:val="00056AD8"/>
    <w:rsid w:val="0005758E"/>
    <w:rsid w:val="00062B74"/>
    <w:rsid w:val="0006460B"/>
    <w:rsid w:val="000661E6"/>
    <w:rsid w:val="00066392"/>
    <w:rsid w:val="00066438"/>
    <w:rsid w:val="00066826"/>
    <w:rsid w:val="0007083C"/>
    <w:rsid w:val="00070C0B"/>
    <w:rsid w:val="00074252"/>
    <w:rsid w:val="00075249"/>
    <w:rsid w:val="00075473"/>
    <w:rsid w:val="000754AE"/>
    <w:rsid w:val="00075967"/>
    <w:rsid w:val="00080F7D"/>
    <w:rsid w:val="00080F93"/>
    <w:rsid w:val="00084214"/>
    <w:rsid w:val="00087303"/>
    <w:rsid w:val="00090259"/>
    <w:rsid w:val="00091F20"/>
    <w:rsid w:val="00092A6F"/>
    <w:rsid w:val="00093AE3"/>
    <w:rsid w:val="000947C3"/>
    <w:rsid w:val="0009667D"/>
    <w:rsid w:val="000A084E"/>
    <w:rsid w:val="000A1899"/>
    <w:rsid w:val="000A2C06"/>
    <w:rsid w:val="000A5EBE"/>
    <w:rsid w:val="000A608C"/>
    <w:rsid w:val="000A610A"/>
    <w:rsid w:val="000A6E61"/>
    <w:rsid w:val="000B1099"/>
    <w:rsid w:val="000B2211"/>
    <w:rsid w:val="000B2A03"/>
    <w:rsid w:val="000B33B5"/>
    <w:rsid w:val="000B3642"/>
    <w:rsid w:val="000B3817"/>
    <w:rsid w:val="000B3EC2"/>
    <w:rsid w:val="000B715D"/>
    <w:rsid w:val="000C0436"/>
    <w:rsid w:val="000C0AC3"/>
    <w:rsid w:val="000C0D4C"/>
    <w:rsid w:val="000C32DA"/>
    <w:rsid w:val="000C3F64"/>
    <w:rsid w:val="000C46BB"/>
    <w:rsid w:val="000C50CE"/>
    <w:rsid w:val="000C68BA"/>
    <w:rsid w:val="000C6D45"/>
    <w:rsid w:val="000C7782"/>
    <w:rsid w:val="000C7A9A"/>
    <w:rsid w:val="000D030A"/>
    <w:rsid w:val="000D031D"/>
    <w:rsid w:val="000D0452"/>
    <w:rsid w:val="000D435B"/>
    <w:rsid w:val="000D4F87"/>
    <w:rsid w:val="000E0548"/>
    <w:rsid w:val="000E0D21"/>
    <w:rsid w:val="000E4112"/>
    <w:rsid w:val="000E452D"/>
    <w:rsid w:val="000E53D0"/>
    <w:rsid w:val="000E5C84"/>
    <w:rsid w:val="000E64B2"/>
    <w:rsid w:val="000F52DC"/>
    <w:rsid w:val="000F5549"/>
    <w:rsid w:val="000F5DF5"/>
    <w:rsid w:val="000F5E5F"/>
    <w:rsid w:val="000F7226"/>
    <w:rsid w:val="000F79EA"/>
    <w:rsid w:val="00100048"/>
    <w:rsid w:val="00100900"/>
    <w:rsid w:val="00102602"/>
    <w:rsid w:val="00102F7A"/>
    <w:rsid w:val="00103C35"/>
    <w:rsid w:val="00104156"/>
    <w:rsid w:val="00104C95"/>
    <w:rsid w:val="00107BF1"/>
    <w:rsid w:val="001113F6"/>
    <w:rsid w:val="001133AD"/>
    <w:rsid w:val="00114C4A"/>
    <w:rsid w:val="00115F40"/>
    <w:rsid w:val="00116761"/>
    <w:rsid w:val="001200AF"/>
    <w:rsid w:val="0012154B"/>
    <w:rsid w:val="00123FFD"/>
    <w:rsid w:val="00124D64"/>
    <w:rsid w:val="00124FA3"/>
    <w:rsid w:val="00125446"/>
    <w:rsid w:val="00127851"/>
    <w:rsid w:val="00127F85"/>
    <w:rsid w:val="00131021"/>
    <w:rsid w:val="00131B94"/>
    <w:rsid w:val="00132D3F"/>
    <w:rsid w:val="0013305B"/>
    <w:rsid w:val="001334A7"/>
    <w:rsid w:val="00134508"/>
    <w:rsid w:val="001369A5"/>
    <w:rsid w:val="00137E66"/>
    <w:rsid w:val="00144F15"/>
    <w:rsid w:val="00144FAA"/>
    <w:rsid w:val="0014601F"/>
    <w:rsid w:val="00147B6A"/>
    <w:rsid w:val="001519D4"/>
    <w:rsid w:val="001519EB"/>
    <w:rsid w:val="00153713"/>
    <w:rsid w:val="00156F16"/>
    <w:rsid w:val="001577FB"/>
    <w:rsid w:val="001606ED"/>
    <w:rsid w:val="00161469"/>
    <w:rsid w:val="001623C7"/>
    <w:rsid w:val="00162EF2"/>
    <w:rsid w:val="001635C9"/>
    <w:rsid w:val="001646E8"/>
    <w:rsid w:val="00165429"/>
    <w:rsid w:val="00172372"/>
    <w:rsid w:val="00173777"/>
    <w:rsid w:val="00176019"/>
    <w:rsid w:val="0017644C"/>
    <w:rsid w:val="00176BE3"/>
    <w:rsid w:val="0018280D"/>
    <w:rsid w:val="00185CD5"/>
    <w:rsid w:val="00185F37"/>
    <w:rsid w:val="001867F1"/>
    <w:rsid w:val="00191461"/>
    <w:rsid w:val="0019146E"/>
    <w:rsid w:val="00196A0F"/>
    <w:rsid w:val="001A2DDF"/>
    <w:rsid w:val="001A3869"/>
    <w:rsid w:val="001A4463"/>
    <w:rsid w:val="001B1836"/>
    <w:rsid w:val="001B28EE"/>
    <w:rsid w:val="001B36C2"/>
    <w:rsid w:val="001B36FA"/>
    <w:rsid w:val="001B6374"/>
    <w:rsid w:val="001B6381"/>
    <w:rsid w:val="001B6515"/>
    <w:rsid w:val="001B6E4F"/>
    <w:rsid w:val="001C05EE"/>
    <w:rsid w:val="001C0A3E"/>
    <w:rsid w:val="001C23EB"/>
    <w:rsid w:val="001C5901"/>
    <w:rsid w:val="001C6243"/>
    <w:rsid w:val="001C7651"/>
    <w:rsid w:val="001C7E3A"/>
    <w:rsid w:val="001D0D70"/>
    <w:rsid w:val="001D14D5"/>
    <w:rsid w:val="001D181C"/>
    <w:rsid w:val="001D2A37"/>
    <w:rsid w:val="001D4E80"/>
    <w:rsid w:val="001E0DE4"/>
    <w:rsid w:val="001E2AFD"/>
    <w:rsid w:val="001E4720"/>
    <w:rsid w:val="001E72A6"/>
    <w:rsid w:val="001E73AF"/>
    <w:rsid w:val="001E755D"/>
    <w:rsid w:val="001F2ED4"/>
    <w:rsid w:val="001F6A53"/>
    <w:rsid w:val="001F6BDC"/>
    <w:rsid w:val="0020272D"/>
    <w:rsid w:val="002027A0"/>
    <w:rsid w:val="00203B7C"/>
    <w:rsid w:val="00204291"/>
    <w:rsid w:val="002044D2"/>
    <w:rsid w:val="00210643"/>
    <w:rsid w:val="00210B70"/>
    <w:rsid w:val="0021221C"/>
    <w:rsid w:val="00212C87"/>
    <w:rsid w:val="0021312B"/>
    <w:rsid w:val="002138EB"/>
    <w:rsid w:val="0021669D"/>
    <w:rsid w:val="00222125"/>
    <w:rsid w:val="00227605"/>
    <w:rsid w:val="00227712"/>
    <w:rsid w:val="0023254E"/>
    <w:rsid w:val="0023284B"/>
    <w:rsid w:val="002339EA"/>
    <w:rsid w:val="00234A1A"/>
    <w:rsid w:val="00236F29"/>
    <w:rsid w:val="002378B6"/>
    <w:rsid w:val="00241E72"/>
    <w:rsid w:val="0024251A"/>
    <w:rsid w:val="00242995"/>
    <w:rsid w:val="002456C0"/>
    <w:rsid w:val="002459E9"/>
    <w:rsid w:val="00250223"/>
    <w:rsid w:val="002514B2"/>
    <w:rsid w:val="00251607"/>
    <w:rsid w:val="00251948"/>
    <w:rsid w:val="00251B95"/>
    <w:rsid w:val="002538A6"/>
    <w:rsid w:val="00253E26"/>
    <w:rsid w:val="00254079"/>
    <w:rsid w:val="00255A52"/>
    <w:rsid w:val="00257944"/>
    <w:rsid w:val="00260CB3"/>
    <w:rsid w:val="0026221E"/>
    <w:rsid w:val="00263353"/>
    <w:rsid w:val="002640E0"/>
    <w:rsid w:val="00264836"/>
    <w:rsid w:val="002667DA"/>
    <w:rsid w:val="00266EDB"/>
    <w:rsid w:val="00271B8E"/>
    <w:rsid w:val="002722C6"/>
    <w:rsid w:val="0027334D"/>
    <w:rsid w:val="0027443B"/>
    <w:rsid w:val="00275C74"/>
    <w:rsid w:val="00277230"/>
    <w:rsid w:val="002818A4"/>
    <w:rsid w:val="002820E6"/>
    <w:rsid w:val="00282C70"/>
    <w:rsid w:val="002835F0"/>
    <w:rsid w:val="0028399C"/>
    <w:rsid w:val="00283FE4"/>
    <w:rsid w:val="002840A1"/>
    <w:rsid w:val="002849AB"/>
    <w:rsid w:val="00290DC3"/>
    <w:rsid w:val="002920A1"/>
    <w:rsid w:val="00294355"/>
    <w:rsid w:val="00294452"/>
    <w:rsid w:val="00294A22"/>
    <w:rsid w:val="0029565B"/>
    <w:rsid w:val="002A37D5"/>
    <w:rsid w:val="002A4208"/>
    <w:rsid w:val="002A6A65"/>
    <w:rsid w:val="002A76B6"/>
    <w:rsid w:val="002A7C4F"/>
    <w:rsid w:val="002B048B"/>
    <w:rsid w:val="002B0D29"/>
    <w:rsid w:val="002B1E7E"/>
    <w:rsid w:val="002B2A22"/>
    <w:rsid w:val="002B3EE2"/>
    <w:rsid w:val="002B4D52"/>
    <w:rsid w:val="002B5933"/>
    <w:rsid w:val="002B62E8"/>
    <w:rsid w:val="002C60D4"/>
    <w:rsid w:val="002C78D2"/>
    <w:rsid w:val="002D2F8E"/>
    <w:rsid w:val="002D49BF"/>
    <w:rsid w:val="002E139C"/>
    <w:rsid w:val="002E38ED"/>
    <w:rsid w:val="002E4A1B"/>
    <w:rsid w:val="002E5613"/>
    <w:rsid w:val="002F011C"/>
    <w:rsid w:val="002F1F01"/>
    <w:rsid w:val="002F2A38"/>
    <w:rsid w:val="002F4950"/>
    <w:rsid w:val="002F6E89"/>
    <w:rsid w:val="002F78B2"/>
    <w:rsid w:val="002F797F"/>
    <w:rsid w:val="00300C57"/>
    <w:rsid w:val="00301BFE"/>
    <w:rsid w:val="0030261C"/>
    <w:rsid w:val="00303C93"/>
    <w:rsid w:val="00306A37"/>
    <w:rsid w:val="00307897"/>
    <w:rsid w:val="00311CEC"/>
    <w:rsid w:val="00312EF7"/>
    <w:rsid w:val="00313166"/>
    <w:rsid w:val="00314927"/>
    <w:rsid w:val="00314B95"/>
    <w:rsid w:val="00314F82"/>
    <w:rsid w:val="003155B5"/>
    <w:rsid w:val="003161CC"/>
    <w:rsid w:val="00321CEC"/>
    <w:rsid w:val="003260E4"/>
    <w:rsid w:val="0033030D"/>
    <w:rsid w:val="003313A2"/>
    <w:rsid w:val="00333FCA"/>
    <w:rsid w:val="003348CF"/>
    <w:rsid w:val="00335E44"/>
    <w:rsid w:val="003413CD"/>
    <w:rsid w:val="00343BF9"/>
    <w:rsid w:val="0034461B"/>
    <w:rsid w:val="0034684F"/>
    <w:rsid w:val="00346CC0"/>
    <w:rsid w:val="00346F1F"/>
    <w:rsid w:val="003472E5"/>
    <w:rsid w:val="00347661"/>
    <w:rsid w:val="00347C14"/>
    <w:rsid w:val="00347ECF"/>
    <w:rsid w:val="00350FEB"/>
    <w:rsid w:val="0035362F"/>
    <w:rsid w:val="00355322"/>
    <w:rsid w:val="00355876"/>
    <w:rsid w:val="00360F30"/>
    <w:rsid w:val="003615E3"/>
    <w:rsid w:val="00363A3D"/>
    <w:rsid w:val="003706BB"/>
    <w:rsid w:val="00370F5D"/>
    <w:rsid w:val="0037158A"/>
    <w:rsid w:val="00376742"/>
    <w:rsid w:val="00376F6B"/>
    <w:rsid w:val="0037787D"/>
    <w:rsid w:val="00377B73"/>
    <w:rsid w:val="00381E24"/>
    <w:rsid w:val="003856AF"/>
    <w:rsid w:val="00387A5F"/>
    <w:rsid w:val="003902AD"/>
    <w:rsid w:val="00391156"/>
    <w:rsid w:val="00394FF4"/>
    <w:rsid w:val="00395926"/>
    <w:rsid w:val="0039651C"/>
    <w:rsid w:val="00396984"/>
    <w:rsid w:val="00397751"/>
    <w:rsid w:val="00397BF5"/>
    <w:rsid w:val="003A1DA4"/>
    <w:rsid w:val="003A54CD"/>
    <w:rsid w:val="003A557E"/>
    <w:rsid w:val="003A7E26"/>
    <w:rsid w:val="003B00D8"/>
    <w:rsid w:val="003B34A4"/>
    <w:rsid w:val="003B3AC9"/>
    <w:rsid w:val="003B55DD"/>
    <w:rsid w:val="003B58F3"/>
    <w:rsid w:val="003B6665"/>
    <w:rsid w:val="003B6906"/>
    <w:rsid w:val="003B6935"/>
    <w:rsid w:val="003C0581"/>
    <w:rsid w:val="003C1F50"/>
    <w:rsid w:val="003C3093"/>
    <w:rsid w:val="003C3B44"/>
    <w:rsid w:val="003C43B1"/>
    <w:rsid w:val="003C4A1C"/>
    <w:rsid w:val="003C4D21"/>
    <w:rsid w:val="003C6739"/>
    <w:rsid w:val="003C789A"/>
    <w:rsid w:val="003D180A"/>
    <w:rsid w:val="003D1C3C"/>
    <w:rsid w:val="003D4731"/>
    <w:rsid w:val="003D564D"/>
    <w:rsid w:val="003D6D5D"/>
    <w:rsid w:val="003D7443"/>
    <w:rsid w:val="003D7605"/>
    <w:rsid w:val="003E091E"/>
    <w:rsid w:val="003E200C"/>
    <w:rsid w:val="003E51EE"/>
    <w:rsid w:val="003E5E9B"/>
    <w:rsid w:val="003E6261"/>
    <w:rsid w:val="003F408C"/>
    <w:rsid w:val="003F6469"/>
    <w:rsid w:val="003F79E1"/>
    <w:rsid w:val="00400FBB"/>
    <w:rsid w:val="00402443"/>
    <w:rsid w:val="00404872"/>
    <w:rsid w:val="00406A46"/>
    <w:rsid w:val="004076D4"/>
    <w:rsid w:val="00410BBF"/>
    <w:rsid w:val="00411A2F"/>
    <w:rsid w:val="00413013"/>
    <w:rsid w:val="00414A7F"/>
    <w:rsid w:val="0041520C"/>
    <w:rsid w:val="00416F84"/>
    <w:rsid w:val="00417348"/>
    <w:rsid w:val="00417F76"/>
    <w:rsid w:val="004208FB"/>
    <w:rsid w:val="00425DA6"/>
    <w:rsid w:val="00427EA9"/>
    <w:rsid w:val="00431801"/>
    <w:rsid w:val="00434B01"/>
    <w:rsid w:val="00436CA3"/>
    <w:rsid w:val="00442CCA"/>
    <w:rsid w:val="004435B7"/>
    <w:rsid w:val="004458BB"/>
    <w:rsid w:val="004465F3"/>
    <w:rsid w:val="004500F2"/>
    <w:rsid w:val="00450C14"/>
    <w:rsid w:val="004518E2"/>
    <w:rsid w:val="00451A8A"/>
    <w:rsid w:val="00451CBB"/>
    <w:rsid w:val="00455479"/>
    <w:rsid w:val="0046146D"/>
    <w:rsid w:val="00461AFF"/>
    <w:rsid w:val="004637EF"/>
    <w:rsid w:val="00466547"/>
    <w:rsid w:val="004674A0"/>
    <w:rsid w:val="0046765A"/>
    <w:rsid w:val="00471B7D"/>
    <w:rsid w:val="00472BAB"/>
    <w:rsid w:val="00474B77"/>
    <w:rsid w:val="004756A5"/>
    <w:rsid w:val="00475C37"/>
    <w:rsid w:val="0047697D"/>
    <w:rsid w:val="00476DA3"/>
    <w:rsid w:val="00480B93"/>
    <w:rsid w:val="004831E1"/>
    <w:rsid w:val="004842D8"/>
    <w:rsid w:val="00484B91"/>
    <w:rsid w:val="00484FE7"/>
    <w:rsid w:val="00485A5D"/>
    <w:rsid w:val="0049295D"/>
    <w:rsid w:val="0049464C"/>
    <w:rsid w:val="004963CD"/>
    <w:rsid w:val="004A2F6C"/>
    <w:rsid w:val="004A35C3"/>
    <w:rsid w:val="004A4F77"/>
    <w:rsid w:val="004A5242"/>
    <w:rsid w:val="004A74AB"/>
    <w:rsid w:val="004B258B"/>
    <w:rsid w:val="004B3A34"/>
    <w:rsid w:val="004B433D"/>
    <w:rsid w:val="004B739A"/>
    <w:rsid w:val="004C30C9"/>
    <w:rsid w:val="004D357D"/>
    <w:rsid w:val="004E5162"/>
    <w:rsid w:val="004E5E77"/>
    <w:rsid w:val="004F1205"/>
    <w:rsid w:val="004F26EF"/>
    <w:rsid w:val="004F27A0"/>
    <w:rsid w:val="004F2C0B"/>
    <w:rsid w:val="004F41EE"/>
    <w:rsid w:val="004F44C1"/>
    <w:rsid w:val="004F5273"/>
    <w:rsid w:val="004F57C6"/>
    <w:rsid w:val="004F655D"/>
    <w:rsid w:val="0050041F"/>
    <w:rsid w:val="00501C61"/>
    <w:rsid w:val="005060D2"/>
    <w:rsid w:val="005060F6"/>
    <w:rsid w:val="0051371C"/>
    <w:rsid w:val="00513DDB"/>
    <w:rsid w:val="00515072"/>
    <w:rsid w:val="0051530B"/>
    <w:rsid w:val="00516610"/>
    <w:rsid w:val="00521038"/>
    <w:rsid w:val="005217FD"/>
    <w:rsid w:val="0052279D"/>
    <w:rsid w:val="005232B6"/>
    <w:rsid w:val="00523F48"/>
    <w:rsid w:val="00526B6D"/>
    <w:rsid w:val="00531BC7"/>
    <w:rsid w:val="0053346C"/>
    <w:rsid w:val="005335C8"/>
    <w:rsid w:val="00536529"/>
    <w:rsid w:val="00537E31"/>
    <w:rsid w:val="00540276"/>
    <w:rsid w:val="00540E51"/>
    <w:rsid w:val="0054173D"/>
    <w:rsid w:val="00541784"/>
    <w:rsid w:val="00541FAB"/>
    <w:rsid w:val="005446F2"/>
    <w:rsid w:val="00545925"/>
    <w:rsid w:val="00545A89"/>
    <w:rsid w:val="00545E1D"/>
    <w:rsid w:val="005511A8"/>
    <w:rsid w:val="00551312"/>
    <w:rsid w:val="00552B67"/>
    <w:rsid w:val="00552DB8"/>
    <w:rsid w:val="00554223"/>
    <w:rsid w:val="00557FA1"/>
    <w:rsid w:val="005623A2"/>
    <w:rsid w:val="005626AC"/>
    <w:rsid w:val="00565290"/>
    <w:rsid w:val="005706E9"/>
    <w:rsid w:val="00571015"/>
    <w:rsid w:val="005727D0"/>
    <w:rsid w:val="00573057"/>
    <w:rsid w:val="00574721"/>
    <w:rsid w:val="005749BA"/>
    <w:rsid w:val="005753C8"/>
    <w:rsid w:val="00576284"/>
    <w:rsid w:val="00576506"/>
    <w:rsid w:val="00577676"/>
    <w:rsid w:val="005811C1"/>
    <w:rsid w:val="0058403D"/>
    <w:rsid w:val="00584239"/>
    <w:rsid w:val="00586097"/>
    <w:rsid w:val="00586CE3"/>
    <w:rsid w:val="0059060C"/>
    <w:rsid w:val="005936B2"/>
    <w:rsid w:val="00594ADF"/>
    <w:rsid w:val="005A4461"/>
    <w:rsid w:val="005A54AD"/>
    <w:rsid w:val="005B1290"/>
    <w:rsid w:val="005B26F0"/>
    <w:rsid w:val="005B2847"/>
    <w:rsid w:val="005B3460"/>
    <w:rsid w:val="005C269E"/>
    <w:rsid w:val="005C3427"/>
    <w:rsid w:val="005C3560"/>
    <w:rsid w:val="005D05FE"/>
    <w:rsid w:val="005D0F53"/>
    <w:rsid w:val="005D367F"/>
    <w:rsid w:val="005D39F4"/>
    <w:rsid w:val="005D74EE"/>
    <w:rsid w:val="005E034C"/>
    <w:rsid w:val="005E072D"/>
    <w:rsid w:val="005E1CE9"/>
    <w:rsid w:val="005E2986"/>
    <w:rsid w:val="005E327C"/>
    <w:rsid w:val="005E3503"/>
    <w:rsid w:val="005E3B2C"/>
    <w:rsid w:val="005E5947"/>
    <w:rsid w:val="005F35EF"/>
    <w:rsid w:val="005F36C0"/>
    <w:rsid w:val="005F73A3"/>
    <w:rsid w:val="0060297E"/>
    <w:rsid w:val="0060306E"/>
    <w:rsid w:val="006068A5"/>
    <w:rsid w:val="00606A32"/>
    <w:rsid w:val="00607596"/>
    <w:rsid w:val="00613A66"/>
    <w:rsid w:val="00613C01"/>
    <w:rsid w:val="0061608F"/>
    <w:rsid w:val="00616175"/>
    <w:rsid w:val="0061625D"/>
    <w:rsid w:val="00620564"/>
    <w:rsid w:val="006205AE"/>
    <w:rsid w:val="006208FA"/>
    <w:rsid w:val="0062094A"/>
    <w:rsid w:val="0062115C"/>
    <w:rsid w:val="00621A2A"/>
    <w:rsid w:val="00622056"/>
    <w:rsid w:val="006221AC"/>
    <w:rsid w:val="0062238A"/>
    <w:rsid w:val="00622554"/>
    <w:rsid w:val="006254A4"/>
    <w:rsid w:val="006258BF"/>
    <w:rsid w:val="00626FD0"/>
    <w:rsid w:val="006309DE"/>
    <w:rsid w:val="0063155D"/>
    <w:rsid w:val="006316D4"/>
    <w:rsid w:val="006323D3"/>
    <w:rsid w:val="00634A48"/>
    <w:rsid w:val="006373AF"/>
    <w:rsid w:val="00640323"/>
    <w:rsid w:val="006425E4"/>
    <w:rsid w:val="006434D7"/>
    <w:rsid w:val="00647ABC"/>
    <w:rsid w:val="0065089E"/>
    <w:rsid w:val="00652AF5"/>
    <w:rsid w:val="006541A7"/>
    <w:rsid w:val="006544E9"/>
    <w:rsid w:val="006544F9"/>
    <w:rsid w:val="00655CCE"/>
    <w:rsid w:val="00661C10"/>
    <w:rsid w:val="00661E8B"/>
    <w:rsid w:val="00662385"/>
    <w:rsid w:val="006633BE"/>
    <w:rsid w:val="00672130"/>
    <w:rsid w:val="00672ED2"/>
    <w:rsid w:val="00675B19"/>
    <w:rsid w:val="00680199"/>
    <w:rsid w:val="00682491"/>
    <w:rsid w:val="00684014"/>
    <w:rsid w:val="00684723"/>
    <w:rsid w:val="006858BD"/>
    <w:rsid w:val="00685EA8"/>
    <w:rsid w:val="00686FE9"/>
    <w:rsid w:val="006870B5"/>
    <w:rsid w:val="006901E4"/>
    <w:rsid w:val="0069076C"/>
    <w:rsid w:val="0069081E"/>
    <w:rsid w:val="00690923"/>
    <w:rsid w:val="006938A9"/>
    <w:rsid w:val="00693F6B"/>
    <w:rsid w:val="006A4CFB"/>
    <w:rsid w:val="006B062B"/>
    <w:rsid w:val="006B4531"/>
    <w:rsid w:val="006B4827"/>
    <w:rsid w:val="006B4DBA"/>
    <w:rsid w:val="006B770C"/>
    <w:rsid w:val="006B7B1B"/>
    <w:rsid w:val="006C1EDB"/>
    <w:rsid w:val="006C3EAD"/>
    <w:rsid w:val="006C42F3"/>
    <w:rsid w:val="006C5D38"/>
    <w:rsid w:val="006C5DFD"/>
    <w:rsid w:val="006C6502"/>
    <w:rsid w:val="006C6F9A"/>
    <w:rsid w:val="006D158D"/>
    <w:rsid w:val="006D285E"/>
    <w:rsid w:val="006D4673"/>
    <w:rsid w:val="006D551E"/>
    <w:rsid w:val="006D562A"/>
    <w:rsid w:val="006D599D"/>
    <w:rsid w:val="006E26FC"/>
    <w:rsid w:val="006E2BAF"/>
    <w:rsid w:val="006E32D8"/>
    <w:rsid w:val="006E3D66"/>
    <w:rsid w:val="006E4497"/>
    <w:rsid w:val="006E4D62"/>
    <w:rsid w:val="006E4E0D"/>
    <w:rsid w:val="006F2034"/>
    <w:rsid w:val="006F2195"/>
    <w:rsid w:val="006F3654"/>
    <w:rsid w:val="006F377E"/>
    <w:rsid w:val="006F4CF4"/>
    <w:rsid w:val="006F5846"/>
    <w:rsid w:val="00701215"/>
    <w:rsid w:val="0070240D"/>
    <w:rsid w:val="007031ED"/>
    <w:rsid w:val="00707083"/>
    <w:rsid w:val="0071006C"/>
    <w:rsid w:val="00713011"/>
    <w:rsid w:val="00713F84"/>
    <w:rsid w:val="00715842"/>
    <w:rsid w:val="007178BE"/>
    <w:rsid w:val="0072115B"/>
    <w:rsid w:val="00723F41"/>
    <w:rsid w:val="007252B7"/>
    <w:rsid w:val="0072560D"/>
    <w:rsid w:val="00726487"/>
    <w:rsid w:val="00727D87"/>
    <w:rsid w:val="007320BE"/>
    <w:rsid w:val="00732A0D"/>
    <w:rsid w:val="00732A5A"/>
    <w:rsid w:val="00736066"/>
    <w:rsid w:val="0073768D"/>
    <w:rsid w:val="00740554"/>
    <w:rsid w:val="00742C46"/>
    <w:rsid w:val="00742EB0"/>
    <w:rsid w:val="00745259"/>
    <w:rsid w:val="00746FF9"/>
    <w:rsid w:val="00750A73"/>
    <w:rsid w:val="007545A0"/>
    <w:rsid w:val="00754DB4"/>
    <w:rsid w:val="007577D6"/>
    <w:rsid w:val="00757850"/>
    <w:rsid w:val="007602DB"/>
    <w:rsid w:val="007614DC"/>
    <w:rsid w:val="00762585"/>
    <w:rsid w:val="0076296A"/>
    <w:rsid w:val="00762DBE"/>
    <w:rsid w:val="00764298"/>
    <w:rsid w:val="00764685"/>
    <w:rsid w:val="00770CEA"/>
    <w:rsid w:val="007724C6"/>
    <w:rsid w:val="00772734"/>
    <w:rsid w:val="00773366"/>
    <w:rsid w:val="00774625"/>
    <w:rsid w:val="00774F3F"/>
    <w:rsid w:val="007771BF"/>
    <w:rsid w:val="007815F5"/>
    <w:rsid w:val="00781F7C"/>
    <w:rsid w:val="007837D0"/>
    <w:rsid w:val="007842D2"/>
    <w:rsid w:val="00785882"/>
    <w:rsid w:val="007868AD"/>
    <w:rsid w:val="007874A8"/>
    <w:rsid w:val="00790906"/>
    <w:rsid w:val="007920A4"/>
    <w:rsid w:val="00792CDF"/>
    <w:rsid w:val="00793203"/>
    <w:rsid w:val="007964B6"/>
    <w:rsid w:val="007A09A3"/>
    <w:rsid w:val="007A1A24"/>
    <w:rsid w:val="007A2DD6"/>
    <w:rsid w:val="007A4056"/>
    <w:rsid w:val="007A50A9"/>
    <w:rsid w:val="007A55AE"/>
    <w:rsid w:val="007A57E4"/>
    <w:rsid w:val="007A6AF7"/>
    <w:rsid w:val="007A6B07"/>
    <w:rsid w:val="007A6FFB"/>
    <w:rsid w:val="007B012E"/>
    <w:rsid w:val="007B209B"/>
    <w:rsid w:val="007B24A5"/>
    <w:rsid w:val="007B3404"/>
    <w:rsid w:val="007B54F8"/>
    <w:rsid w:val="007B57E8"/>
    <w:rsid w:val="007B7DED"/>
    <w:rsid w:val="007B7EE5"/>
    <w:rsid w:val="007C1ADF"/>
    <w:rsid w:val="007C2C56"/>
    <w:rsid w:val="007C2E11"/>
    <w:rsid w:val="007C74EE"/>
    <w:rsid w:val="007D10A3"/>
    <w:rsid w:val="007D169C"/>
    <w:rsid w:val="007D1FC8"/>
    <w:rsid w:val="007D2662"/>
    <w:rsid w:val="007D3DD9"/>
    <w:rsid w:val="007D47CA"/>
    <w:rsid w:val="007D48C8"/>
    <w:rsid w:val="007D7ADB"/>
    <w:rsid w:val="007E3FD1"/>
    <w:rsid w:val="007F214A"/>
    <w:rsid w:val="007F27E8"/>
    <w:rsid w:val="007F2F27"/>
    <w:rsid w:val="007F354F"/>
    <w:rsid w:val="007F3D1D"/>
    <w:rsid w:val="007F59A6"/>
    <w:rsid w:val="007F637D"/>
    <w:rsid w:val="007F6756"/>
    <w:rsid w:val="007F6A49"/>
    <w:rsid w:val="007F6BEF"/>
    <w:rsid w:val="00801FB4"/>
    <w:rsid w:val="00802EAF"/>
    <w:rsid w:val="00804B1A"/>
    <w:rsid w:val="00804F54"/>
    <w:rsid w:val="00815E57"/>
    <w:rsid w:val="00815E95"/>
    <w:rsid w:val="00817E9C"/>
    <w:rsid w:val="0082258D"/>
    <w:rsid w:val="008230DA"/>
    <w:rsid w:val="0082316D"/>
    <w:rsid w:val="00823840"/>
    <w:rsid w:val="00824EB9"/>
    <w:rsid w:val="0082569E"/>
    <w:rsid w:val="0083111A"/>
    <w:rsid w:val="0083145B"/>
    <w:rsid w:val="008318BF"/>
    <w:rsid w:val="0083409F"/>
    <w:rsid w:val="00834D5C"/>
    <w:rsid w:val="00836A2F"/>
    <w:rsid w:val="008402A4"/>
    <w:rsid w:val="008402B1"/>
    <w:rsid w:val="00840DF3"/>
    <w:rsid w:val="008423AA"/>
    <w:rsid w:val="008444C1"/>
    <w:rsid w:val="0084469D"/>
    <w:rsid w:val="0084601E"/>
    <w:rsid w:val="008467BB"/>
    <w:rsid w:val="00851420"/>
    <w:rsid w:val="00851F43"/>
    <w:rsid w:val="00853119"/>
    <w:rsid w:val="00853EFD"/>
    <w:rsid w:val="00861785"/>
    <w:rsid w:val="008626E3"/>
    <w:rsid w:val="0086301F"/>
    <w:rsid w:val="00863764"/>
    <w:rsid w:val="00863F2F"/>
    <w:rsid w:val="008656C0"/>
    <w:rsid w:val="00865D82"/>
    <w:rsid w:val="00865FB7"/>
    <w:rsid w:val="008707CE"/>
    <w:rsid w:val="00870C88"/>
    <w:rsid w:val="00872555"/>
    <w:rsid w:val="0087426C"/>
    <w:rsid w:val="00876135"/>
    <w:rsid w:val="00876257"/>
    <w:rsid w:val="0087750B"/>
    <w:rsid w:val="00877DB0"/>
    <w:rsid w:val="008831BA"/>
    <w:rsid w:val="00883885"/>
    <w:rsid w:val="00885D05"/>
    <w:rsid w:val="008862CA"/>
    <w:rsid w:val="00890DD2"/>
    <w:rsid w:val="00892DD0"/>
    <w:rsid w:val="00895CED"/>
    <w:rsid w:val="0089686F"/>
    <w:rsid w:val="00896A76"/>
    <w:rsid w:val="008A07E6"/>
    <w:rsid w:val="008A2152"/>
    <w:rsid w:val="008A728C"/>
    <w:rsid w:val="008B03BE"/>
    <w:rsid w:val="008B0D23"/>
    <w:rsid w:val="008B2541"/>
    <w:rsid w:val="008B3B5C"/>
    <w:rsid w:val="008B5D51"/>
    <w:rsid w:val="008C06FF"/>
    <w:rsid w:val="008C17AC"/>
    <w:rsid w:val="008C2BCF"/>
    <w:rsid w:val="008C3261"/>
    <w:rsid w:val="008C3C27"/>
    <w:rsid w:val="008C4065"/>
    <w:rsid w:val="008C75DB"/>
    <w:rsid w:val="008D3D5C"/>
    <w:rsid w:val="008D4498"/>
    <w:rsid w:val="008D4EA8"/>
    <w:rsid w:val="008D5596"/>
    <w:rsid w:val="008D5C84"/>
    <w:rsid w:val="008D62AE"/>
    <w:rsid w:val="008D767D"/>
    <w:rsid w:val="008D7900"/>
    <w:rsid w:val="008E5105"/>
    <w:rsid w:val="008E67E9"/>
    <w:rsid w:val="008F178B"/>
    <w:rsid w:val="008F2E29"/>
    <w:rsid w:val="008F3F02"/>
    <w:rsid w:val="008F5EF6"/>
    <w:rsid w:val="00900B89"/>
    <w:rsid w:val="00904CF7"/>
    <w:rsid w:val="009067AA"/>
    <w:rsid w:val="00906CAD"/>
    <w:rsid w:val="00911264"/>
    <w:rsid w:val="0091471A"/>
    <w:rsid w:val="00914BDB"/>
    <w:rsid w:val="009154BD"/>
    <w:rsid w:val="00917F75"/>
    <w:rsid w:val="00921392"/>
    <w:rsid w:val="0092535F"/>
    <w:rsid w:val="00931192"/>
    <w:rsid w:val="00931839"/>
    <w:rsid w:val="009323B4"/>
    <w:rsid w:val="00932E29"/>
    <w:rsid w:val="00936369"/>
    <w:rsid w:val="00936D11"/>
    <w:rsid w:val="0093704B"/>
    <w:rsid w:val="00941E8F"/>
    <w:rsid w:val="009511DB"/>
    <w:rsid w:val="0095218B"/>
    <w:rsid w:val="00953A93"/>
    <w:rsid w:val="009541D8"/>
    <w:rsid w:val="00954336"/>
    <w:rsid w:val="00955D32"/>
    <w:rsid w:val="00957C1D"/>
    <w:rsid w:val="00957C98"/>
    <w:rsid w:val="00960461"/>
    <w:rsid w:val="00962122"/>
    <w:rsid w:val="009643E6"/>
    <w:rsid w:val="009665AE"/>
    <w:rsid w:val="009670A0"/>
    <w:rsid w:val="009677B4"/>
    <w:rsid w:val="009703E3"/>
    <w:rsid w:val="00970AB2"/>
    <w:rsid w:val="009714CB"/>
    <w:rsid w:val="00973382"/>
    <w:rsid w:val="009752BA"/>
    <w:rsid w:val="00982C32"/>
    <w:rsid w:val="00984E7B"/>
    <w:rsid w:val="00986C11"/>
    <w:rsid w:val="00990914"/>
    <w:rsid w:val="00994091"/>
    <w:rsid w:val="009940EF"/>
    <w:rsid w:val="0099719F"/>
    <w:rsid w:val="009A0D11"/>
    <w:rsid w:val="009A2249"/>
    <w:rsid w:val="009A25DC"/>
    <w:rsid w:val="009A2DA9"/>
    <w:rsid w:val="009A6FCA"/>
    <w:rsid w:val="009A79B9"/>
    <w:rsid w:val="009B5FD7"/>
    <w:rsid w:val="009B624A"/>
    <w:rsid w:val="009C1E34"/>
    <w:rsid w:val="009C32D4"/>
    <w:rsid w:val="009C557E"/>
    <w:rsid w:val="009C5B6A"/>
    <w:rsid w:val="009C60B2"/>
    <w:rsid w:val="009C75F1"/>
    <w:rsid w:val="009D104E"/>
    <w:rsid w:val="009D3227"/>
    <w:rsid w:val="009D386B"/>
    <w:rsid w:val="009D3F0E"/>
    <w:rsid w:val="009D4428"/>
    <w:rsid w:val="009D5398"/>
    <w:rsid w:val="009D5EE2"/>
    <w:rsid w:val="009E1F8A"/>
    <w:rsid w:val="009E565B"/>
    <w:rsid w:val="009F33D2"/>
    <w:rsid w:val="009F4AE7"/>
    <w:rsid w:val="009F5A3C"/>
    <w:rsid w:val="00A0010B"/>
    <w:rsid w:val="00A01DCE"/>
    <w:rsid w:val="00A04ECA"/>
    <w:rsid w:val="00A07924"/>
    <w:rsid w:val="00A11F7A"/>
    <w:rsid w:val="00A13721"/>
    <w:rsid w:val="00A14C76"/>
    <w:rsid w:val="00A1704A"/>
    <w:rsid w:val="00A1724C"/>
    <w:rsid w:val="00A21B2D"/>
    <w:rsid w:val="00A23B8C"/>
    <w:rsid w:val="00A242B9"/>
    <w:rsid w:val="00A243EC"/>
    <w:rsid w:val="00A24EDD"/>
    <w:rsid w:val="00A25189"/>
    <w:rsid w:val="00A25537"/>
    <w:rsid w:val="00A259D4"/>
    <w:rsid w:val="00A2678B"/>
    <w:rsid w:val="00A305B1"/>
    <w:rsid w:val="00A30915"/>
    <w:rsid w:val="00A34383"/>
    <w:rsid w:val="00A34421"/>
    <w:rsid w:val="00A3686B"/>
    <w:rsid w:val="00A374C9"/>
    <w:rsid w:val="00A425E9"/>
    <w:rsid w:val="00A43BC3"/>
    <w:rsid w:val="00A4479E"/>
    <w:rsid w:val="00A45643"/>
    <w:rsid w:val="00A46D83"/>
    <w:rsid w:val="00A47BC0"/>
    <w:rsid w:val="00A52834"/>
    <w:rsid w:val="00A529A4"/>
    <w:rsid w:val="00A530F3"/>
    <w:rsid w:val="00A543DC"/>
    <w:rsid w:val="00A5444E"/>
    <w:rsid w:val="00A559E6"/>
    <w:rsid w:val="00A5753C"/>
    <w:rsid w:val="00A57DF7"/>
    <w:rsid w:val="00A62DAC"/>
    <w:rsid w:val="00A655F3"/>
    <w:rsid w:val="00A70D98"/>
    <w:rsid w:val="00A70E45"/>
    <w:rsid w:val="00A72AE7"/>
    <w:rsid w:val="00A72F04"/>
    <w:rsid w:val="00A72FC9"/>
    <w:rsid w:val="00A74F9B"/>
    <w:rsid w:val="00A75965"/>
    <w:rsid w:val="00A77FB9"/>
    <w:rsid w:val="00A81487"/>
    <w:rsid w:val="00A824DB"/>
    <w:rsid w:val="00A84A22"/>
    <w:rsid w:val="00A85250"/>
    <w:rsid w:val="00A856A7"/>
    <w:rsid w:val="00A90AFD"/>
    <w:rsid w:val="00A916F5"/>
    <w:rsid w:val="00A93D25"/>
    <w:rsid w:val="00A95ABC"/>
    <w:rsid w:val="00AA033C"/>
    <w:rsid w:val="00AA13B7"/>
    <w:rsid w:val="00AA3889"/>
    <w:rsid w:val="00AA4123"/>
    <w:rsid w:val="00AA41C8"/>
    <w:rsid w:val="00AA445F"/>
    <w:rsid w:val="00AA4D20"/>
    <w:rsid w:val="00AA64E3"/>
    <w:rsid w:val="00AA669D"/>
    <w:rsid w:val="00AB03F7"/>
    <w:rsid w:val="00AB0CC5"/>
    <w:rsid w:val="00AB0CCB"/>
    <w:rsid w:val="00AB10BF"/>
    <w:rsid w:val="00AB14A8"/>
    <w:rsid w:val="00AB1902"/>
    <w:rsid w:val="00AB3BA3"/>
    <w:rsid w:val="00AB417C"/>
    <w:rsid w:val="00AB4E29"/>
    <w:rsid w:val="00AB7453"/>
    <w:rsid w:val="00AC0980"/>
    <w:rsid w:val="00AC4354"/>
    <w:rsid w:val="00AC474D"/>
    <w:rsid w:val="00AC4E40"/>
    <w:rsid w:val="00AC574E"/>
    <w:rsid w:val="00AC5D49"/>
    <w:rsid w:val="00AC7AA3"/>
    <w:rsid w:val="00AD03FE"/>
    <w:rsid w:val="00AD1069"/>
    <w:rsid w:val="00AD1723"/>
    <w:rsid w:val="00AD324B"/>
    <w:rsid w:val="00AD5ACF"/>
    <w:rsid w:val="00AE0047"/>
    <w:rsid w:val="00AE0C76"/>
    <w:rsid w:val="00AE0DF0"/>
    <w:rsid w:val="00AE30D5"/>
    <w:rsid w:val="00AE413E"/>
    <w:rsid w:val="00AE502D"/>
    <w:rsid w:val="00AE609F"/>
    <w:rsid w:val="00AE6BCE"/>
    <w:rsid w:val="00AF17E6"/>
    <w:rsid w:val="00AF637D"/>
    <w:rsid w:val="00AF7FFB"/>
    <w:rsid w:val="00B054C7"/>
    <w:rsid w:val="00B14744"/>
    <w:rsid w:val="00B157E1"/>
    <w:rsid w:val="00B158BB"/>
    <w:rsid w:val="00B16523"/>
    <w:rsid w:val="00B2185A"/>
    <w:rsid w:val="00B24E0B"/>
    <w:rsid w:val="00B27B2C"/>
    <w:rsid w:val="00B312BA"/>
    <w:rsid w:val="00B3162A"/>
    <w:rsid w:val="00B32749"/>
    <w:rsid w:val="00B339A9"/>
    <w:rsid w:val="00B35A1D"/>
    <w:rsid w:val="00B364F0"/>
    <w:rsid w:val="00B47937"/>
    <w:rsid w:val="00B5059A"/>
    <w:rsid w:val="00B51D96"/>
    <w:rsid w:val="00B55BBF"/>
    <w:rsid w:val="00B573DF"/>
    <w:rsid w:val="00B604A0"/>
    <w:rsid w:val="00B64A00"/>
    <w:rsid w:val="00B6515B"/>
    <w:rsid w:val="00B65EC4"/>
    <w:rsid w:val="00B66154"/>
    <w:rsid w:val="00B66221"/>
    <w:rsid w:val="00B73118"/>
    <w:rsid w:val="00B743E4"/>
    <w:rsid w:val="00B76E13"/>
    <w:rsid w:val="00B777A6"/>
    <w:rsid w:val="00B77E8A"/>
    <w:rsid w:val="00B80E7C"/>
    <w:rsid w:val="00B85E14"/>
    <w:rsid w:val="00B872D4"/>
    <w:rsid w:val="00B87868"/>
    <w:rsid w:val="00B90F61"/>
    <w:rsid w:val="00B93268"/>
    <w:rsid w:val="00B944B9"/>
    <w:rsid w:val="00B9493E"/>
    <w:rsid w:val="00B95628"/>
    <w:rsid w:val="00B95DBE"/>
    <w:rsid w:val="00B96F8A"/>
    <w:rsid w:val="00B9763A"/>
    <w:rsid w:val="00BA06E9"/>
    <w:rsid w:val="00BA0E2E"/>
    <w:rsid w:val="00BA14D8"/>
    <w:rsid w:val="00BA2AB1"/>
    <w:rsid w:val="00BA7F9C"/>
    <w:rsid w:val="00BB0545"/>
    <w:rsid w:val="00BB224D"/>
    <w:rsid w:val="00BB30CA"/>
    <w:rsid w:val="00BB3565"/>
    <w:rsid w:val="00BB55F5"/>
    <w:rsid w:val="00BB65F8"/>
    <w:rsid w:val="00BB6BF1"/>
    <w:rsid w:val="00BB6D40"/>
    <w:rsid w:val="00BC08D7"/>
    <w:rsid w:val="00BC0C40"/>
    <w:rsid w:val="00BC0ECE"/>
    <w:rsid w:val="00BC2096"/>
    <w:rsid w:val="00BC540B"/>
    <w:rsid w:val="00BD19B8"/>
    <w:rsid w:val="00BD1D64"/>
    <w:rsid w:val="00BD7A38"/>
    <w:rsid w:val="00BD7CC4"/>
    <w:rsid w:val="00BE07CC"/>
    <w:rsid w:val="00BE30B3"/>
    <w:rsid w:val="00BE504D"/>
    <w:rsid w:val="00BE532A"/>
    <w:rsid w:val="00BE7048"/>
    <w:rsid w:val="00BE754D"/>
    <w:rsid w:val="00BF1F73"/>
    <w:rsid w:val="00BF3514"/>
    <w:rsid w:val="00BF48FF"/>
    <w:rsid w:val="00BF53D8"/>
    <w:rsid w:val="00BF5C57"/>
    <w:rsid w:val="00BF6525"/>
    <w:rsid w:val="00BF6BD5"/>
    <w:rsid w:val="00BF773E"/>
    <w:rsid w:val="00C01FF3"/>
    <w:rsid w:val="00C02CE4"/>
    <w:rsid w:val="00C0313B"/>
    <w:rsid w:val="00C03395"/>
    <w:rsid w:val="00C04470"/>
    <w:rsid w:val="00C069D2"/>
    <w:rsid w:val="00C10C0E"/>
    <w:rsid w:val="00C10EC5"/>
    <w:rsid w:val="00C11430"/>
    <w:rsid w:val="00C1224C"/>
    <w:rsid w:val="00C12583"/>
    <w:rsid w:val="00C127F5"/>
    <w:rsid w:val="00C13311"/>
    <w:rsid w:val="00C20BE8"/>
    <w:rsid w:val="00C23D49"/>
    <w:rsid w:val="00C24A17"/>
    <w:rsid w:val="00C25EF6"/>
    <w:rsid w:val="00C349A9"/>
    <w:rsid w:val="00C35E48"/>
    <w:rsid w:val="00C40AC4"/>
    <w:rsid w:val="00C4371B"/>
    <w:rsid w:val="00C45A31"/>
    <w:rsid w:val="00C50A85"/>
    <w:rsid w:val="00C512E2"/>
    <w:rsid w:val="00C5232C"/>
    <w:rsid w:val="00C54873"/>
    <w:rsid w:val="00C55152"/>
    <w:rsid w:val="00C55933"/>
    <w:rsid w:val="00C5654C"/>
    <w:rsid w:val="00C56E80"/>
    <w:rsid w:val="00C57953"/>
    <w:rsid w:val="00C60322"/>
    <w:rsid w:val="00C61498"/>
    <w:rsid w:val="00C65237"/>
    <w:rsid w:val="00C7041F"/>
    <w:rsid w:val="00C709ED"/>
    <w:rsid w:val="00C70D94"/>
    <w:rsid w:val="00C717F0"/>
    <w:rsid w:val="00C7383F"/>
    <w:rsid w:val="00C745EA"/>
    <w:rsid w:val="00C74BB5"/>
    <w:rsid w:val="00C75CE9"/>
    <w:rsid w:val="00C76189"/>
    <w:rsid w:val="00C76BFD"/>
    <w:rsid w:val="00C76E09"/>
    <w:rsid w:val="00C76F99"/>
    <w:rsid w:val="00C772C3"/>
    <w:rsid w:val="00C77355"/>
    <w:rsid w:val="00C80788"/>
    <w:rsid w:val="00C808C1"/>
    <w:rsid w:val="00C80ED5"/>
    <w:rsid w:val="00C82A04"/>
    <w:rsid w:val="00C84F7B"/>
    <w:rsid w:val="00C867D5"/>
    <w:rsid w:val="00C87A56"/>
    <w:rsid w:val="00C91471"/>
    <w:rsid w:val="00C92404"/>
    <w:rsid w:val="00C92760"/>
    <w:rsid w:val="00C933BE"/>
    <w:rsid w:val="00C94A09"/>
    <w:rsid w:val="00C95471"/>
    <w:rsid w:val="00C9634B"/>
    <w:rsid w:val="00CA1727"/>
    <w:rsid w:val="00CA1FB3"/>
    <w:rsid w:val="00CA43C5"/>
    <w:rsid w:val="00CA5ADE"/>
    <w:rsid w:val="00CA5C6F"/>
    <w:rsid w:val="00CA5CBD"/>
    <w:rsid w:val="00CA64CD"/>
    <w:rsid w:val="00CB212A"/>
    <w:rsid w:val="00CB3DDD"/>
    <w:rsid w:val="00CC0A9C"/>
    <w:rsid w:val="00CC0B7E"/>
    <w:rsid w:val="00CC0F59"/>
    <w:rsid w:val="00CC32C9"/>
    <w:rsid w:val="00CC4639"/>
    <w:rsid w:val="00CD020D"/>
    <w:rsid w:val="00CD07EA"/>
    <w:rsid w:val="00CD0911"/>
    <w:rsid w:val="00CD4014"/>
    <w:rsid w:val="00CD70F2"/>
    <w:rsid w:val="00CE0AE6"/>
    <w:rsid w:val="00CE192F"/>
    <w:rsid w:val="00CE19CA"/>
    <w:rsid w:val="00CE1A11"/>
    <w:rsid w:val="00CE21B7"/>
    <w:rsid w:val="00CE29F9"/>
    <w:rsid w:val="00CF0D1F"/>
    <w:rsid w:val="00CF1206"/>
    <w:rsid w:val="00D008B4"/>
    <w:rsid w:val="00D01B05"/>
    <w:rsid w:val="00D0283F"/>
    <w:rsid w:val="00D032D6"/>
    <w:rsid w:val="00D104C2"/>
    <w:rsid w:val="00D164BD"/>
    <w:rsid w:val="00D16625"/>
    <w:rsid w:val="00D179C0"/>
    <w:rsid w:val="00D203B0"/>
    <w:rsid w:val="00D2069E"/>
    <w:rsid w:val="00D213BE"/>
    <w:rsid w:val="00D22627"/>
    <w:rsid w:val="00D258F8"/>
    <w:rsid w:val="00D27F6C"/>
    <w:rsid w:val="00D3258E"/>
    <w:rsid w:val="00D400E5"/>
    <w:rsid w:val="00D4054B"/>
    <w:rsid w:val="00D40930"/>
    <w:rsid w:val="00D42C49"/>
    <w:rsid w:val="00D4334A"/>
    <w:rsid w:val="00D44FBD"/>
    <w:rsid w:val="00D46F07"/>
    <w:rsid w:val="00D50B8E"/>
    <w:rsid w:val="00D50EA6"/>
    <w:rsid w:val="00D533DB"/>
    <w:rsid w:val="00D536ED"/>
    <w:rsid w:val="00D56A42"/>
    <w:rsid w:val="00D5738C"/>
    <w:rsid w:val="00D6023E"/>
    <w:rsid w:val="00D603EA"/>
    <w:rsid w:val="00D608FA"/>
    <w:rsid w:val="00D61C64"/>
    <w:rsid w:val="00D61D93"/>
    <w:rsid w:val="00D624DA"/>
    <w:rsid w:val="00D70251"/>
    <w:rsid w:val="00D748C3"/>
    <w:rsid w:val="00D75534"/>
    <w:rsid w:val="00D77468"/>
    <w:rsid w:val="00D8078D"/>
    <w:rsid w:val="00D844B0"/>
    <w:rsid w:val="00D84D4C"/>
    <w:rsid w:val="00D8763B"/>
    <w:rsid w:val="00D90985"/>
    <w:rsid w:val="00D91327"/>
    <w:rsid w:val="00D926D1"/>
    <w:rsid w:val="00D9615E"/>
    <w:rsid w:val="00D97ECB"/>
    <w:rsid w:val="00DA2BFC"/>
    <w:rsid w:val="00DA2ED3"/>
    <w:rsid w:val="00DA4457"/>
    <w:rsid w:val="00DA58D4"/>
    <w:rsid w:val="00DA7409"/>
    <w:rsid w:val="00DB0862"/>
    <w:rsid w:val="00DB2DE0"/>
    <w:rsid w:val="00DB5830"/>
    <w:rsid w:val="00DB6D11"/>
    <w:rsid w:val="00DC0AA0"/>
    <w:rsid w:val="00DC2FAE"/>
    <w:rsid w:val="00DC4E2E"/>
    <w:rsid w:val="00DD22F4"/>
    <w:rsid w:val="00DD4295"/>
    <w:rsid w:val="00DD5ACF"/>
    <w:rsid w:val="00DD79FE"/>
    <w:rsid w:val="00DE28D2"/>
    <w:rsid w:val="00DE3AAB"/>
    <w:rsid w:val="00DE468E"/>
    <w:rsid w:val="00DE4A1A"/>
    <w:rsid w:val="00DE5617"/>
    <w:rsid w:val="00DE5B44"/>
    <w:rsid w:val="00DF04BF"/>
    <w:rsid w:val="00DF0775"/>
    <w:rsid w:val="00DF50FD"/>
    <w:rsid w:val="00E05B91"/>
    <w:rsid w:val="00E063C6"/>
    <w:rsid w:val="00E06EBA"/>
    <w:rsid w:val="00E07EA8"/>
    <w:rsid w:val="00E101EA"/>
    <w:rsid w:val="00E12E75"/>
    <w:rsid w:val="00E1443A"/>
    <w:rsid w:val="00E1485D"/>
    <w:rsid w:val="00E15E12"/>
    <w:rsid w:val="00E15E2F"/>
    <w:rsid w:val="00E15E4A"/>
    <w:rsid w:val="00E16A78"/>
    <w:rsid w:val="00E201C1"/>
    <w:rsid w:val="00E209E7"/>
    <w:rsid w:val="00E21B71"/>
    <w:rsid w:val="00E22642"/>
    <w:rsid w:val="00E22B26"/>
    <w:rsid w:val="00E24F1E"/>
    <w:rsid w:val="00E261E1"/>
    <w:rsid w:val="00E27D33"/>
    <w:rsid w:val="00E31032"/>
    <w:rsid w:val="00E3162B"/>
    <w:rsid w:val="00E319AC"/>
    <w:rsid w:val="00E33B23"/>
    <w:rsid w:val="00E33B95"/>
    <w:rsid w:val="00E34B1E"/>
    <w:rsid w:val="00E361FC"/>
    <w:rsid w:val="00E40383"/>
    <w:rsid w:val="00E42757"/>
    <w:rsid w:val="00E42EFC"/>
    <w:rsid w:val="00E45C42"/>
    <w:rsid w:val="00E51329"/>
    <w:rsid w:val="00E53E25"/>
    <w:rsid w:val="00E54420"/>
    <w:rsid w:val="00E5496D"/>
    <w:rsid w:val="00E556AA"/>
    <w:rsid w:val="00E57153"/>
    <w:rsid w:val="00E62798"/>
    <w:rsid w:val="00E717A0"/>
    <w:rsid w:val="00E71F83"/>
    <w:rsid w:val="00E72554"/>
    <w:rsid w:val="00E726CB"/>
    <w:rsid w:val="00E72E71"/>
    <w:rsid w:val="00E73C7C"/>
    <w:rsid w:val="00E74FC8"/>
    <w:rsid w:val="00E755A9"/>
    <w:rsid w:val="00E75AD7"/>
    <w:rsid w:val="00E80569"/>
    <w:rsid w:val="00E827AF"/>
    <w:rsid w:val="00E84A5A"/>
    <w:rsid w:val="00E84C4B"/>
    <w:rsid w:val="00E878AA"/>
    <w:rsid w:val="00E87E98"/>
    <w:rsid w:val="00E90B1C"/>
    <w:rsid w:val="00E90BC1"/>
    <w:rsid w:val="00E91AE6"/>
    <w:rsid w:val="00E92E01"/>
    <w:rsid w:val="00E94A02"/>
    <w:rsid w:val="00E95078"/>
    <w:rsid w:val="00EA5BFB"/>
    <w:rsid w:val="00EA6943"/>
    <w:rsid w:val="00EA7839"/>
    <w:rsid w:val="00EA7840"/>
    <w:rsid w:val="00EB0A6D"/>
    <w:rsid w:val="00EB1AC7"/>
    <w:rsid w:val="00EB2FDF"/>
    <w:rsid w:val="00EB6D2D"/>
    <w:rsid w:val="00EC15AB"/>
    <w:rsid w:val="00EC166F"/>
    <w:rsid w:val="00EC1ACF"/>
    <w:rsid w:val="00EC2526"/>
    <w:rsid w:val="00EC2999"/>
    <w:rsid w:val="00EC31D5"/>
    <w:rsid w:val="00EC3450"/>
    <w:rsid w:val="00EC5242"/>
    <w:rsid w:val="00EC71EE"/>
    <w:rsid w:val="00ED0C83"/>
    <w:rsid w:val="00ED27E9"/>
    <w:rsid w:val="00ED3209"/>
    <w:rsid w:val="00ED3B3A"/>
    <w:rsid w:val="00ED3C82"/>
    <w:rsid w:val="00ED5A3D"/>
    <w:rsid w:val="00ED66D2"/>
    <w:rsid w:val="00ED6CCD"/>
    <w:rsid w:val="00EE2BF8"/>
    <w:rsid w:val="00EE5271"/>
    <w:rsid w:val="00EE54E1"/>
    <w:rsid w:val="00EE7DEB"/>
    <w:rsid w:val="00EF388D"/>
    <w:rsid w:val="00EF3979"/>
    <w:rsid w:val="00F00082"/>
    <w:rsid w:val="00F03A0A"/>
    <w:rsid w:val="00F0506E"/>
    <w:rsid w:val="00F07AA7"/>
    <w:rsid w:val="00F117D7"/>
    <w:rsid w:val="00F141D2"/>
    <w:rsid w:val="00F201D8"/>
    <w:rsid w:val="00F23AC5"/>
    <w:rsid w:val="00F24E73"/>
    <w:rsid w:val="00F314B8"/>
    <w:rsid w:val="00F31825"/>
    <w:rsid w:val="00F31843"/>
    <w:rsid w:val="00F351F5"/>
    <w:rsid w:val="00F37647"/>
    <w:rsid w:val="00F4077A"/>
    <w:rsid w:val="00F41312"/>
    <w:rsid w:val="00F452B0"/>
    <w:rsid w:val="00F46221"/>
    <w:rsid w:val="00F473F1"/>
    <w:rsid w:val="00F5030D"/>
    <w:rsid w:val="00F50FF2"/>
    <w:rsid w:val="00F5310F"/>
    <w:rsid w:val="00F5341E"/>
    <w:rsid w:val="00F55045"/>
    <w:rsid w:val="00F56BAC"/>
    <w:rsid w:val="00F570E1"/>
    <w:rsid w:val="00F5758E"/>
    <w:rsid w:val="00F57B20"/>
    <w:rsid w:val="00F61761"/>
    <w:rsid w:val="00F62DAA"/>
    <w:rsid w:val="00F63ABD"/>
    <w:rsid w:val="00F66C0B"/>
    <w:rsid w:val="00F66F39"/>
    <w:rsid w:val="00F6762B"/>
    <w:rsid w:val="00F7059D"/>
    <w:rsid w:val="00F70CAF"/>
    <w:rsid w:val="00F73074"/>
    <w:rsid w:val="00F74D14"/>
    <w:rsid w:val="00F758F1"/>
    <w:rsid w:val="00F77507"/>
    <w:rsid w:val="00F817A7"/>
    <w:rsid w:val="00F81ECB"/>
    <w:rsid w:val="00F82775"/>
    <w:rsid w:val="00F83BCF"/>
    <w:rsid w:val="00F8435E"/>
    <w:rsid w:val="00F85C88"/>
    <w:rsid w:val="00F86CBD"/>
    <w:rsid w:val="00F913B7"/>
    <w:rsid w:val="00F93A00"/>
    <w:rsid w:val="00F93A89"/>
    <w:rsid w:val="00F93AAC"/>
    <w:rsid w:val="00F93E33"/>
    <w:rsid w:val="00F95ABF"/>
    <w:rsid w:val="00FA0468"/>
    <w:rsid w:val="00FA090D"/>
    <w:rsid w:val="00FA4ED9"/>
    <w:rsid w:val="00FB44F0"/>
    <w:rsid w:val="00FB5200"/>
    <w:rsid w:val="00FC12BD"/>
    <w:rsid w:val="00FC2ABE"/>
    <w:rsid w:val="00FC471A"/>
    <w:rsid w:val="00FC65A5"/>
    <w:rsid w:val="00FD19E1"/>
    <w:rsid w:val="00FD29FF"/>
    <w:rsid w:val="00FD5316"/>
    <w:rsid w:val="00FE0ED5"/>
    <w:rsid w:val="00FE107B"/>
    <w:rsid w:val="00FE11A7"/>
    <w:rsid w:val="00FE1967"/>
    <w:rsid w:val="00FE19B7"/>
    <w:rsid w:val="00FE1CC7"/>
    <w:rsid w:val="00FE2646"/>
    <w:rsid w:val="00FE3625"/>
    <w:rsid w:val="00FE38A2"/>
    <w:rsid w:val="00FE44AD"/>
    <w:rsid w:val="00FE44D1"/>
    <w:rsid w:val="00FE6DFD"/>
    <w:rsid w:val="00FF4D11"/>
    <w:rsid w:val="00FF57BF"/>
    <w:rsid w:val="00FF5D8A"/>
    <w:rsid w:val="00FF5DD4"/>
    <w:rsid w:val="00FF6C6D"/>
    <w:rsid w:val="00FF6CAC"/>
    <w:rsid w:val="0203549C"/>
    <w:rsid w:val="030560A7"/>
    <w:rsid w:val="0482545C"/>
    <w:rsid w:val="056F72B2"/>
    <w:rsid w:val="097FEC8D"/>
    <w:rsid w:val="0A2F3B39"/>
    <w:rsid w:val="0B2740B6"/>
    <w:rsid w:val="0CAF241C"/>
    <w:rsid w:val="0CF90EB4"/>
    <w:rsid w:val="0E8712C9"/>
    <w:rsid w:val="0FBF9ED6"/>
    <w:rsid w:val="10C62FD7"/>
    <w:rsid w:val="1137442A"/>
    <w:rsid w:val="17744B91"/>
    <w:rsid w:val="178F4E4D"/>
    <w:rsid w:val="17CF802D"/>
    <w:rsid w:val="190368E5"/>
    <w:rsid w:val="1B64387E"/>
    <w:rsid w:val="1CEB6E5F"/>
    <w:rsid w:val="1D007925"/>
    <w:rsid w:val="1DEA190F"/>
    <w:rsid w:val="1E3C4218"/>
    <w:rsid w:val="1E575CF5"/>
    <w:rsid w:val="1EB63CCB"/>
    <w:rsid w:val="1EF7F53E"/>
    <w:rsid w:val="1EFAFCFA"/>
    <w:rsid w:val="1F97A36F"/>
    <w:rsid w:val="1FB78B6F"/>
    <w:rsid w:val="1FBFA7E1"/>
    <w:rsid w:val="1FDF4453"/>
    <w:rsid w:val="1FDF6197"/>
    <w:rsid w:val="1FDFD33A"/>
    <w:rsid w:val="1FEB317F"/>
    <w:rsid w:val="20E527CE"/>
    <w:rsid w:val="250972B0"/>
    <w:rsid w:val="257FCC00"/>
    <w:rsid w:val="265F047D"/>
    <w:rsid w:val="27952770"/>
    <w:rsid w:val="27A9420C"/>
    <w:rsid w:val="27D8088F"/>
    <w:rsid w:val="27EFFB55"/>
    <w:rsid w:val="2BB9BF4A"/>
    <w:rsid w:val="2C5F9E3E"/>
    <w:rsid w:val="2CFE4591"/>
    <w:rsid w:val="2D579BAB"/>
    <w:rsid w:val="2D5AFDD6"/>
    <w:rsid w:val="2DA9065E"/>
    <w:rsid w:val="2DECAB47"/>
    <w:rsid w:val="2F6F7FC7"/>
    <w:rsid w:val="2F7DE4DC"/>
    <w:rsid w:val="2FFBB80F"/>
    <w:rsid w:val="2FFDAB08"/>
    <w:rsid w:val="31655C4E"/>
    <w:rsid w:val="31E70A27"/>
    <w:rsid w:val="320F2B38"/>
    <w:rsid w:val="33FD13F7"/>
    <w:rsid w:val="34035871"/>
    <w:rsid w:val="343163DD"/>
    <w:rsid w:val="34913157"/>
    <w:rsid w:val="3495317B"/>
    <w:rsid w:val="352FA479"/>
    <w:rsid w:val="355F8C38"/>
    <w:rsid w:val="356FB7C1"/>
    <w:rsid w:val="35FF19AB"/>
    <w:rsid w:val="36492B77"/>
    <w:rsid w:val="36BFCEAA"/>
    <w:rsid w:val="36C7406E"/>
    <w:rsid w:val="36E920E5"/>
    <w:rsid w:val="37C7013C"/>
    <w:rsid w:val="37F6C875"/>
    <w:rsid w:val="37FED0D5"/>
    <w:rsid w:val="37FF6152"/>
    <w:rsid w:val="38BF484F"/>
    <w:rsid w:val="38FC2981"/>
    <w:rsid w:val="394133F6"/>
    <w:rsid w:val="39EA0C75"/>
    <w:rsid w:val="39FD5AC0"/>
    <w:rsid w:val="39FF6AD6"/>
    <w:rsid w:val="3AD00088"/>
    <w:rsid w:val="3ADF3345"/>
    <w:rsid w:val="3B506C62"/>
    <w:rsid w:val="3B7F15E5"/>
    <w:rsid w:val="3BDF4884"/>
    <w:rsid w:val="3BF5B0B8"/>
    <w:rsid w:val="3BFBC5CF"/>
    <w:rsid w:val="3D5ABC19"/>
    <w:rsid w:val="3D6F4835"/>
    <w:rsid w:val="3D75690A"/>
    <w:rsid w:val="3D7E918D"/>
    <w:rsid w:val="3DB69CCB"/>
    <w:rsid w:val="3DFFBE29"/>
    <w:rsid w:val="3E460256"/>
    <w:rsid w:val="3EEF58DC"/>
    <w:rsid w:val="3EFFD5C4"/>
    <w:rsid w:val="3F7DEB87"/>
    <w:rsid w:val="3F8E93D9"/>
    <w:rsid w:val="3FA93E73"/>
    <w:rsid w:val="3FAE7C03"/>
    <w:rsid w:val="3FBF11B7"/>
    <w:rsid w:val="3FCB2654"/>
    <w:rsid w:val="3FE511F4"/>
    <w:rsid w:val="3FEE3D1D"/>
    <w:rsid w:val="3FF9B812"/>
    <w:rsid w:val="3FFE0F6D"/>
    <w:rsid w:val="3FFF4E8E"/>
    <w:rsid w:val="3FFF6E53"/>
    <w:rsid w:val="41016CDE"/>
    <w:rsid w:val="410F0222"/>
    <w:rsid w:val="41194D36"/>
    <w:rsid w:val="429E3F40"/>
    <w:rsid w:val="468EA7BF"/>
    <w:rsid w:val="476FED92"/>
    <w:rsid w:val="47FD303E"/>
    <w:rsid w:val="48BE5AE9"/>
    <w:rsid w:val="4971495C"/>
    <w:rsid w:val="49B502DA"/>
    <w:rsid w:val="4A7B286F"/>
    <w:rsid w:val="4AEC6208"/>
    <w:rsid w:val="4BB3DD55"/>
    <w:rsid w:val="4DDDA65D"/>
    <w:rsid w:val="4DF7E942"/>
    <w:rsid w:val="4E7D21E2"/>
    <w:rsid w:val="4E9201F6"/>
    <w:rsid w:val="4E989F35"/>
    <w:rsid w:val="4EFD7804"/>
    <w:rsid w:val="4EFFE934"/>
    <w:rsid w:val="4F2F38B3"/>
    <w:rsid w:val="4F6BB61F"/>
    <w:rsid w:val="4F9D4EE8"/>
    <w:rsid w:val="4FD51D0F"/>
    <w:rsid w:val="4FEDD477"/>
    <w:rsid w:val="4FFBF1D6"/>
    <w:rsid w:val="507F9443"/>
    <w:rsid w:val="510068F4"/>
    <w:rsid w:val="530B4582"/>
    <w:rsid w:val="53FC4FF5"/>
    <w:rsid w:val="545101A0"/>
    <w:rsid w:val="54EF7DD3"/>
    <w:rsid w:val="559D5C72"/>
    <w:rsid w:val="559F33D7"/>
    <w:rsid w:val="55F865E5"/>
    <w:rsid w:val="55FE9844"/>
    <w:rsid w:val="56476FC2"/>
    <w:rsid w:val="565D293A"/>
    <w:rsid w:val="57622117"/>
    <w:rsid w:val="57A25898"/>
    <w:rsid w:val="57CE45D4"/>
    <w:rsid w:val="57DFF45D"/>
    <w:rsid w:val="57FF90DA"/>
    <w:rsid w:val="59EEC279"/>
    <w:rsid w:val="5A8F9923"/>
    <w:rsid w:val="5AF7EEAA"/>
    <w:rsid w:val="5BBB88DF"/>
    <w:rsid w:val="5BEE35BB"/>
    <w:rsid w:val="5C513288"/>
    <w:rsid w:val="5DF9E502"/>
    <w:rsid w:val="5E231EB0"/>
    <w:rsid w:val="5E3BC942"/>
    <w:rsid w:val="5E7D3C21"/>
    <w:rsid w:val="5EBD3B2F"/>
    <w:rsid w:val="5EEE2A3F"/>
    <w:rsid w:val="5EEF1C03"/>
    <w:rsid w:val="5EFF759F"/>
    <w:rsid w:val="5F3E00E9"/>
    <w:rsid w:val="5F6FC34F"/>
    <w:rsid w:val="5F7A060E"/>
    <w:rsid w:val="5FD57206"/>
    <w:rsid w:val="5FDE62D0"/>
    <w:rsid w:val="5FEB1F44"/>
    <w:rsid w:val="5FEF4AC9"/>
    <w:rsid w:val="5FFD264A"/>
    <w:rsid w:val="5FFF67E9"/>
    <w:rsid w:val="61BD3926"/>
    <w:rsid w:val="62FF6BF4"/>
    <w:rsid w:val="630730C7"/>
    <w:rsid w:val="63123E9F"/>
    <w:rsid w:val="658FCB3C"/>
    <w:rsid w:val="65E7E841"/>
    <w:rsid w:val="65EF24D4"/>
    <w:rsid w:val="6623094C"/>
    <w:rsid w:val="66B7117D"/>
    <w:rsid w:val="66E72F92"/>
    <w:rsid w:val="66F92CCF"/>
    <w:rsid w:val="676A32FD"/>
    <w:rsid w:val="676D72A7"/>
    <w:rsid w:val="67BBD962"/>
    <w:rsid w:val="67DDBF6D"/>
    <w:rsid w:val="67DF0C1D"/>
    <w:rsid w:val="67FD1094"/>
    <w:rsid w:val="683B652A"/>
    <w:rsid w:val="6AE76255"/>
    <w:rsid w:val="6BE933DB"/>
    <w:rsid w:val="6BF98E16"/>
    <w:rsid w:val="6CA3511D"/>
    <w:rsid w:val="6CBFF15D"/>
    <w:rsid w:val="6CFF1792"/>
    <w:rsid w:val="6D1831C7"/>
    <w:rsid w:val="6DFB34D5"/>
    <w:rsid w:val="6DFC34E5"/>
    <w:rsid w:val="6DFD052B"/>
    <w:rsid w:val="6DFDFEA4"/>
    <w:rsid w:val="6DFF0422"/>
    <w:rsid w:val="6ED59F70"/>
    <w:rsid w:val="6EF5C61C"/>
    <w:rsid w:val="6EFF3B64"/>
    <w:rsid w:val="6F43280A"/>
    <w:rsid w:val="6F53EED5"/>
    <w:rsid w:val="6F73EF52"/>
    <w:rsid w:val="6F7D0FB3"/>
    <w:rsid w:val="6FD7AB13"/>
    <w:rsid w:val="6FDB1744"/>
    <w:rsid w:val="6FDF1183"/>
    <w:rsid w:val="6FFE1198"/>
    <w:rsid w:val="6FFE7A7B"/>
    <w:rsid w:val="70537618"/>
    <w:rsid w:val="708A3449"/>
    <w:rsid w:val="70C0011C"/>
    <w:rsid w:val="71C5301C"/>
    <w:rsid w:val="71E60A7F"/>
    <w:rsid w:val="71EA67C2"/>
    <w:rsid w:val="71F7F92A"/>
    <w:rsid w:val="71FFA52E"/>
    <w:rsid w:val="72F204A6"/>
    <w:rsid w:val="73BEA7F7"/>
    <w:rsid w:val="73E3AE8F"/>
    <w:rsid w:val="73EF3EED"/>
    <w:rsid w:val="73F45B40"/>
    <w:rsid w:val="750F0D12"/>
    <w:rsid w:val="75BC1DC1"/>
    <w:rsid w:val="75BD07DD"/>
    <w:rsid w:val="75DF1CB4"/>
    <w:rsid w:val="75E728F2"/>
    <w:rsid w:val="75FB4AB6"/>
    <w:rsid w:val="75FF99D8"/>
    <w:rsid w:val="76050C0A"/>
    <w:rsid w:val="765422AC"/>
    <w:rsid w:val="76AEA3E9"/>
    <w:rsid w:val="76BF01FA"/>
    <w:rsid w:val="76F7A918"/>
    <w:rsid w:val="77410BE7"/>
    <w:rsid w:val="77638EF8"/>
    <w:rsid w:val="77AB942A"/>
    <w:rsid w:val="77C52819"/>
    <w:rsid w:val="77E41740"/>
    <w:rsid w:val="77E4650E"/>
    <w:rsid w:val="77EB5612"/>
    <w:rsid w:val="77F4AC16"/>
    <w:rsid w:val="77FB6A44"/>
    <w:rsid w:val="797F63B5"/>
    <w:rsid w:val="79D5034C"/>
    <w:rsid w:val="79DFE5AE"/>
    <w:rsid w:val="79EFB351"/>
    <w:rsid w:val="79FA653E"/>
    <w:rsid w:val="79FF7427"/>
    <w:rsid w:val="7A7BDA41"/>
    <w:rsid w:val="7AF756B4"/>
    <w:rsid w:val="7AFED1C8"/>
    <w:rsid w:val="7B55919E"/>
    <w:rsid w:val="7B5756B8"/>
    <w:rsid w:val="7B7F4890"/>
    <w:rsid w:val="7BA901F2"/>
    <w:rsid w:val="7BBED38F"/>
    <w:rsid w:val="7BBF98B4"/>
    <w:rsid w:val="7BCB890F"/>
    <w:rsid w:val="7BDBE2AB"/>
    <w:rsid w:val="7BECC375"/>
    <w:rsid w:val="7BEF412D"/>
    <w:rsid w:val="7BF78767"/>
    <w:rsid w:val="7BF7AD33"/>
    <w:rsid w:val="7BFA145C"/>
    <w:rsid w:val="7BFB91C3"/>
    <w:rsid w:val="7BFF5578"/>
    <w:rsid w:val="7BFF5C0F"/>
    <w:rsid w:val="7C6D157A"/>
    <w:rsid w:val="7C7D18A1"/>
    <w:rsid w:val="7CA450AE"/>
    <w:rsid w:val="7CDFA027"/>
    <w:rsid w:val="7D176B76"/>
    <w:rsid w:val="7D4ECBF4"/>
    <w:rsid w:val="7D5FBEA3"/>
    <w:rsid w:val="7D6F6602"/>
    <w:rsid w:val="7D7A0AA5"/>
    <w:rsid w:val="7DA18A77"/>
    <w:rsid w:val="7DBF1294"/>
    <w:rsid w:val="7DC4655D"/>
    <w:rsid w:val="7DCFBD7F"/>
    <w:rsid w:val="7DD26613"/>
    <w:rsid w:val="7DDB338F"/>
    <w:rsid w:val="7DE71C80"/>
    <w:rsid w:val="7DE7A7E6"/>
    <w:rsid w:val="7DECC7EB"/>
    <w:rsid w:val="7DEFFFD4"/>
    <w:rsid w:val="7DF7391F"/>
    <w:rsid w:val="7DFD33E1"/>
    <w:rsid w:val="7DFF2718"/>
    <w:rsid w:val="7DFF770A"/>
    <w:rsid w:val="7DFFCFDF"/>
    <w:rsid w:val="7E3FFF9E"/>
    <w:rsid w:val="7E57DFDD"/>
    <w:rsid w:val="7E5E101A"/>
    <w:rsid w:val="7E682501"/>
    <w:rsid w:val="7E7EACBD"/>
    <w:rsid w:val="7E7FEE20"/>
    <w:rsid w:val="7E9E2E43"/>
    <w:rsid w:val="7EA74EF1"/>
    <w:rsid w:val="7EADD0DE"/>
    <w:rsid w:val="7EB66F90"/>
    <w:rsid w:val="7EB73C4C"/>
    <w:rsid w:val="7EBE992F"/>
    <w:rsid w:val="7EBF4E46"/>
    <w:rsid w:val="7ECF3AFE"/>
    <w:rsid w:val="7EE969DB"/>
    <w:rsid w:val="7EF44070"/>
    <w:rsid w:val="7EF7FBBA"/>
    <w:rsid w:val="7EFC59E0"/>
    <w:rsid w:val="7EFCE3DB"/>
    <w:rsid w:val="7EFF4C45"/>
    <w:rsid w:val="7EFFD67D"/>
    <w:rsid w:val="7F0804D8"/>
    <w:rsid w:val="7F57EC20"/>
    <w:rsid w:val="7F7BE270"/>
    <w:rsid w:val="7F7F0D73"/>
    <w:rsid w:val="7F9FEAF2"/>
    <w:rsid w:val="7FB52488"/>
    <w:rsid w:val="7FB63E53"/>
    <w:rsid w:val="7FBB5A2E"/>
    <w:rsid w:val="7FBBC468"/>
    <w:rsid w:val="7FBE52DE"/>
    <w:rsid w:val="7FBE7AA5"/>
    <w:rsid w:val="7FBF54C9"/>
    <w:rsid w:val="7FD7D9EB"/>
    <w:rsid w:val="7FD9EE03"/>
    <w:rsid w:val="7FDF7D3C"/>
    <w:rsid w:val="7FEDBB2E"/>
    <w:rsid w:val="7FEEACC5"/>
    <w:rsid w:val="7FF318D0"/>
    <w:rsid w:val="7FF7D790"/>
    <w:rsid w:val="7FF9009D"/>
    <w:rsid w:val="7FFA6664"/>
    <w:rsid w:val="7FFAB658"/>
    <w:rsid w:val="7FFDF0B4"/>
    <w:rsid w:val="7FFF70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qFormat="1"/>
    <w:lsdException w:name="toc 2" w:uiPriority="39" w:qFormat="1"/>
    <w:lsdException w:name="footnote text" w:uiPriority="99" w:qFormat="1"/>
    <w:lsdException w:name="annotation text" w:qFormat="1"/>
    <w:lsdException w:name="header" w:qFormat="1"/>
    <w:lsdException w:name="footer" w:uiPriority="99" w:qFormat="1"/>
    <w:lsdException w:name="caption" w:uiPriority="35" w:unhideWhenUsed="1" w:qFormat="1"/>
    <w:lsdException w:name="footnote reference" w:uiPriority="99" w:qFormat="1"/>
    <w:lsdException w:name="annotation reference" w:qFormat="1"/>
    <w:lsdException w:name="Title" w:uiPriority="10" w:qFormat="1"/>
    <w:lsdException w:name="Default Paragraph Font" w:semiHidden="1" w:uiPriority="1" w:unhideWhenUsed="1" w:qFormat="1"/>
    <w:lsdException w:name="Body Text" w:uiPriority="1" w:qFormat="1"/>
    <w:lsdException w:name="Subtitle" w:qFormat="1"/>
    <w:lsdException w:name="Body Text First Indent 2" w:qFormat="1"/>
    <w:lsdException w:name="Body Text Indent 2"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Indent21"/>
    <w:qFormat/>
    <w:rsid w:val="00CE1A11"/>
    <w:pPr>
      <w:widowControl w:val="0"/>
      <w:spacing w:after="160" w:line="259" w:lineRule="auto"/>
      <w:jc w:val="both"/>
    </w:pPr>
    <w:rPr>
      <w:rFonts w:ascii="仿宋" w:eastAsia="仿宋" w:hAnsi="仿宋" w:cstheme="minorBidi"/>
      <w:kern w:val="2"/>
      <w:sz w:val="32"/>
      <w:szCs w:val="40"/>
    </w:rPr>
  </w:style>
  <w:style w:type="paragraph" w:styleId="1">
    <w:name w:val="heading 1"/>
    <w:basedOn w:val="a"/>
    <w:next w:val="a"/>
    <w:qFormat/>
    <w:rsid w:val="00CE1A11"/>
    <w:pPr>
      <w:numPr>
        <w:numId w:val="1"/>
      </w:numPr>
      <w:spacing w:after="0" w:line="600" w:lineRule="exact"/>
      <w:jc w:val="left"/>
      <w:outlineLvl w:val="0"/>
    </w:pPr>
    <w:rPr>
      <w:rFonts w:ascii="黑体" w:eastAsia="黑体" w:hAnsi="宋体" w:cs="Times New Roman" w:hint="eastAsia"/>
      <w:szCs w:val="32"/>
    </w:rPr>
  </w:style>
  <w:style w:type="paragraph" w:styleId="2">
    <w:name w:val="heading 2"/>
    <w:basedOn w:val="a"/>
    <w:next w:val="a"/>
    <w:link w:val="2Char"/>
    <w:unhideWhenUsed/>
    <w:qFormat/>
    <w:rsid w:val="00CE1A11"/>
    <w:pPr>
      <w:numPr>
        <w:numId w:val="2"/>
      </w:numPr>
      <w:spacing w:after="0" w:line="600" w:lineRule="exact"/>
      <w:jc w:val="left"/>
      <w:outlineLvl w:val="1"/>
    </w:pPr>
    <w:rPr>
      <w:rFonts w:ascii="楷体" w:eastAsia="楷体" w:hAnsi="楷体" w:cs="Times New Roman" w:hint="eastAsia"/>
      <w:szCs w:val="32"/>
    </w:rPr>
  </w:style>
  <w:style w:type="paragraph" w:styleId="3">
    <w:name w:val="heading 3"/>
    <w:basedOn w:val="a"/>
    <w:next w:val="a"/>
    <w:link w:val="3Char"/>
    <w:unhideWhenUsed/>
    <w:qFormat/>
    <w:rsid w:val="00CE1A11"/>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Indent21">
    <w:name w:val="Body Text Indent 21"/>
    <w:basedOn w:val="a"/>
    <w:qFormat/>
    <w:rsid w:val="00CE1A11"/>
    <w:pPr>
      <w:spacing w:line="480" w:lineRule="auto"/>
      <w:ind w:leftChars="200" w:left="420"/>
    </w:pPr>
    <w:rPr>
      <w:rFonts w:ascii="Calibri" w:eastAsia="宋体" w:hAnsi="Calibri" w:cs="Times New Roman"/>
      <w:szCs w:val="24"/>
    </w:rPr>
  </w:style>
  <w:style w:type="paragraph" w:styleId="a3">
    <w:name w:val="annotation subject"/>
    <w:basedOn w:val="a4"/>
    <w:next w:val="a4"/>
    <w:link w:val="Char"/>
    <w:qFormat/>
    <w:rsid w:val="00CE1A11"/>
    <w:rPr>
      <w:b/>
      <w:bCs/>
    </w:rPr>
  </w:style>
  <w:style w:type="paragraph" w:styleId="a4">
    <w:name w:val="annotation text"/>
    <w:basedOn w:val="a"/>
    <w:link w:val="Char0"/>
    <w:qFormat/>
    <w:rsid w:val="00CE1A11"/>
    <w:pPr>
      <w:spacing w:line="240" w:lineRule="auto"/>
    </w:pPr>
    <w:rPr>
      <w:sz w:val="20"/>
      <w:szCs w:val="20"/>
    </w:rPr>
  </w:style>
  <w:style w:type="paragraph" w:styleId="a5">
    <w:name w:val="caption"/>
    <w:basedOn w:val="a"/>
    <w:next w:val="a"/>
    <w:uiPriority w:val="35"/>
    <w:unhideWhenUsed/>
    <w:qFormat/>
    <w:rsid w:val="00CE1A11"/>
    <w:pPr>
      <w:spacing w:after="200" w:line="240" w:lineRule="auto"/>
    </w:pPr>
    <w:rPr>
      <w:rFonts w:asciiTheme="minorHAnsi" w:eastAsiaTheme="minorEastAsia" w:hAnsiTheme="minorHAnsi"/>
      <w:i/>
      <w:iCs/>
      <w:color w:val="44546A" w:themeColor="text2"/>
      <w:sz w:val="18"/>
      <w:szCs w:val="18"/>
    </w:rPr>
  </w:style>
  <w:style w:type="paragraph" w:styleId="5">
    <w:name w:val="index 5"/>
    <w:basedOn w:val="a"/>
    <w:next w:val="a"/>
    <w:qFormat/>
    <w:rsid w:val="00CE1A11"/>
    <w:pPr>
      <w:spacing w:after="0" w:line="240" w:lineRule="auto"/>
      <w:ind w:left="1600" w:hanging="320"/>
    </w:pPr>
  </w:style>
  <w:style w:type="paragraph" w:styleId="a6">
    <w:name w:val="Body Text"/>
    <w:basedOn w:val="a"/>
    <w:next w:val="a7"/>
    <w:link w:val="Char1"/>
    <w:uiPriority w:val="1"/>
    <w:qFormat/>
    <w:rsid w:val="00CE1A11"/>
    <w:pPr>
      <w:autoSpaceDE w:val="0"/>
      <w:autoSpaceDN w:val="0"/>
      <w:spacing w:after="0" w:line="240" w:lineRule="auto"/>
      <w:ind w:left="352"/>
      <w:jc w:val="left"/>
    </w:pPr>
    <w:rPr>
      <w:rFonts w:ascii="宋体" w:eastAsia="宋体" w:hAnsi="宋体" w:cs="宋体"/>
      <w:kern w:val="0"/>
      <w:sz w:val="28"/>
      <w:szCs w:val="28"/>
      <w:lang w:eastAsia="en-US"/>
    </w:rPr>
  </w:style>
  <w:style w:type="paragraph" w:styleId="a7">
    <w:name w:val="header"/>
    <w:basedOn w:val="a"/>
    <w:link w:val="Char2"/>
    <w:qFormat/>
    <w:rsid w:val="00CE1A1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20">
    <w:name w:val="Body Text Indent 2"/>
    <w:basedOn w:val="a"/>
    <w:qFormat/>
    <w:rsid w:val="00CE1A11"/>
    <w:pPr>
      <w:spacing w:line="560" w:lineRule="exact"/>
    </w:pPr>
  </w:style>
  <w:style w:type="paragraph" w:styleId="a8">
    <w:name w:val="Balloon Text"/>
    <w:basedOn w:val="a"/>
    <w:link w:val="Char3"/>
    <w:qFormat/>
    <w:rsid w:val="00CE1A11"/>
    <w:pPr>
      <w:spacing w:after="0" w:line="240" w:lineRule="auto"/>
    </w:pPr>
    <w:rPr>
      <w:sz w:val="18"/>
      <w:szCs w:val="18"/>
    </w:rPr>
  </w:style>
  <w:style w:type="paragraph" w:styleId="a9">
    <w:name w:val="footer"/>
    <w:basedOn w:val="a"/>
    <w:link w:val="Char4"/>
    <w:uiPriority w:val="99"/>
    <w:qFormat/>
    <w:rsid w:val="00CE1A11"/>
    <w:pPr>
      <w:tabs>
        <w:tab w:val="center" w:pos="4153"/>
        <w:tab w:val="right" w:pos="8306"/>
      </w:tabs>
      <w:snapToGrid w:val="0"/>
      <w:jc w:val="left"/>
    </w:pPr>
    <w:rPr>
      <w:sz w:val="18"/>
    </w:rPr>
  </w:style>
  <w:style w:type="paragraph" w:styleId="21">
    <w:name w:val="Body Text First Indent 2"/>
    <w:basedOn w:val="a6"/>
    <w:next w:val="a"/>
    <w:qFormat/>
    <w:rsid w:val="00CE1A11"/>
    <w:pPr>
      <w:ind w:firstLineChars="200" w:firstLine="420"/>
    </w:pPr>
  </w:style>
  <w:style w:type="paragraph" w:styleId="10">
    <w:name w:val="toc 1"/>
    <w:basedOn w:val="a"/>
    <w:next w:val="a"/>
    <w:uiPriority w:val="39"/>
    <w:qFormat/>
    <w:rsid w:val="00CE1A11"/>
    <w:pPr>
      <w:spacing w:after="100"/>
    </w:pPr>
  </w:style>
  <w:style w:type="paragraph" w:styleId="aa">
    <w:name w:val="footnote text"/>
    <w:basedOn w:val="a"/>
    <w:link w:val="Char5"/>
    <w:uiPriority w:val="99"/>
    <w:qFormat/>
    <w:rsid w:val="00CE1A11"/>
    <w:pPr>
      <w:spacing w:after="0" w:line="240" w:lineRule="auto"/>
    </w:pPr>
    <w:rPr>
      <w:sz w:val="20"/>
      <w:szCs w:val="20"/>
    </w:rPr>
  </w:style>
  <w:style w:type="paragraph" w:styleId="22">
    <w:name w:val="toc 2"/>
    <w:basedOn w:val="a"/>
    <w:next w:val="a"/>
    <w:uiPriority w:val="39"/>
    <w:qFormat/>
    <w:rsid w:val="00CE1A11"/>
    <w:pPr>
      <w:spacing w:after="100"/>
      <w:ind w:left="320"/>
    </w:pPr>
  </w:style>
  <w:style w:type="paragraph" w:styleId="HTML">
    <w:name w:val="HTML Preformatted"/>
    <w:basedOn w:val="a"/>
    <w:qFormat/>
    <w:rsid w:val="00CE1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b">
    <w:name w:val="Normal (Web)"/>
    <w:basedOn w:val="a"/>
    <w:link w:val="Char6"/>
    <w:uiPriority w:val="99"/>
    <w:qFormat/>
    <w:rsid w:val="00CE1A11"/>
    <w:rPr>
      <w:rFonts w:ascii="Times New Roman" w:hAnsi="Times New Roman" w:cs="Times New Roman"/>
      <w:sz w:val="24"/>
      <w:szCs w:val="24"/>
    </w:rPr>
  </w:style>
  <w:style w:type="paragraph" w:styleId="ac">
    <w:name w:val="Title"/>
    <w:basedOn w:val="a"/>
    <w:uiPriority w:val="10"/>
    <w:qFormat/>
    <w:rsid w:val="00CE1A11"/>
    <w:pPr>
      <w:spacing w:after="0"/>
      <w:jc w:val="center"/>
    </w:pPr>
    <w:rPr>
      <w:rFonts w:ascii="宋体" w:eastAsia="宋体" w:hAnsi="宋体" w:cs="Times New Roman" w:hint="eastAsia"/>
      <w:b/>
      <w:sz w:val="44"/>
      <w:szCs w:val="44"/>
    </w:rPr>
  </w:style>
  <w:style w:type="character" w:styleId="ad">
    <w:name w:val="Strong"/>
    <w:basedOn w:val="a0"/>
    <w:uiPriority w:val="22"/>
    <w:qFormat/>
    <w:rsid w:val="00CE1A11"/>
    <w:rPr>
      <w:b/>
      <w:bCs/>
    </w:rPr>
  </w:style>
  <w:style w:type="character" w:styleId="ae">
    <w:name w:val="Hyperlink"/>
    <w:basedOn w:val="a0"/>
    <w:uiPriority w:val="99"/>
    <w:unhideWhenUsed/>
    <w:qFormat/>
    <w:rsid w:val="00CE1A11"/>
    <w:rPr>
      <w:color w:val="0563C1" w:themeColor="hyperlink"/>
      <w:u w:val="single"/>
    </w:rPr>
  </w:style>
  <w:style w:type="character" w:styleId="af">
    <w:name w:val="annotation reference"/>
    <w:basedOn w:val="a0"/>
    <w:qFormat/>
    <w:rsid w:val="00CE1A11"/>
    <w:rPr>
      <w:sz w:val="16"/>
      <w:szCs w:val="16"/>
    </w:rPr>
  </w:style>
  <w:style w:type="character" w:styleId="af0">
    <w:name w:val="footnote reference"/>
    <w:basedOn w:val="a0"/>
    <w:uiPriority w:val="99"/>
    <w:qFormat/>
    <w:rsid w:val="00CE1A11"/>
    <w:rPr>
      <w:vertAlign w:val="superscript"/>
    </w:rPr>
  </w:style>
  <w:style w:type="table" w:styleId="af1">
    <w:name w:val="Table Grid"/>
    <w:basedOn w:val="a1"/>
    <w:qFormat/>
    <w:rsid w:val="00CE1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a0"/>
    <w:uiPriority w:val="99"/>
    <w:qFormat/>
    <w:rsid w:val="00CE1A11"/>
    <w:rPr>
      <w:rFonts w:ascii="仿宋" w:eastAsia="仿宋" w:hAnsi="仿宋" w:cs="仿宋" w:hint="eastAsia"/>
      <w:sz w:val="18"/>
      <w:szCs w:val="18"/>
    </w:rPr>
  </w:style>
  <w:style w:type="character" w:customStyle="1" w:styleId="Heading2Char">
    <w:name w:val="Heading 2 Char"/>
    <w:basedOn w:val="a0"/>
    <w:qFormat/>
    <w:rsid w:val="00CE1A11"/>
    <w:rPr>
      <w:rFonts w:ascii="楷体" w:eastAsia="楷体" w:hAnsi="楷体" w:cs="楷体" w:hint="eastAsia"/>
      <w:sz w:val="32"/>
      <w:szCs w:val="32"/>
    </w:rPr>
  </w:style>
  <w:style w:type="character" w:customStyle="1" w:styleId="Heading1Char">
    <w:name w:val="Heading 1 Char"/>
    <w:basedOn w:val="a0"/>
    <w:qFormat/>
    <w:rsid w:val="00CE1A11"/>
    <w:rPr>
      <w:rFonts w:ascii="黑体" w:eastAsia="黑体" w:hAnsi="宋体" w:cs="黑体" w:hint="eastAsia"/>
      <w:sz w:val="32"/>
      <w:szCs w:val="32"/>
    </w:rPr>
  </w:style>
  <w:style w:type="character" w:customStyle="1" w:styleId="HeaderChar">
    <w:name w:val="Header Char"/>
    <w:basedOn w:val="a0"/>
    <w:qFormat/>
    <w:rsid w:val="00CE1A11"/>
    <w:rPr>
      <w:rFonts w:ascii="仿宋" w:eastAsia="仿宋" w:hAnsi="仿宋" w:cs="仿宋" w:hint="eastAsia"/>
      <w:sz w:val="18"/>
      <w:szCs w:val="18"/>
    </w:rPr>
  </w:style>
  <w:style w:type="character" w:customStyle="1" w:styleId="TitleChar">
    <w:name w:val="Title Char"/>
    <w:basedOn w:val="a0"/>
    <w:qFormat/>
    <w:rsid w:val="00CE1A11"/>
    <w:rPr>
      <w:rFonts w:ascii="宋体" w:eastAsia="宋体" w:hAnsi="宋体" w:cs="宋体" w:hint="eastAsia"/>
      <w:b/>
      <w:sz w:val="44"/>
      <w:szCs w:val="44"/>
    </w:rPr>
  </w:style>
  <w:style w:type="table" w:customStyle="1" w:styleId="TableNormal1">
    <w:name w:val="Table Normal1"/>
    <w:basedOn w:val="a1"/>
    <w:semiHidden/>
    <w:qFormat/>
    <w:rsid w:val="00CE1A11"/>
    <w:rPr>
      <w:rFonts w:cs="等线" w:hint="eastAsia"/>
      <w:kern w:val="2"/>
      <w:sz w:val="21"/>
      <w:szCs w:val="22"/>
    </w:rPr>
    <w:tblPr>
      <w:tblInd w:w="0" w:type="dxa"/>
      <w:tblCellMar>
        <w:top w:w="0" w:type="dxa"/>
        <w:left w:w="108" w:type="dxa"/>
        <w:bottom w:w="0" w:type="dxa"/>
        <w:right w:w="108" w:type="dxa"/>
      </w:tblCellMar>
    </w:tblPr>
  </w:style>
  <w:style w:type="paragraph" w:styleId="af2">
    <w:name w:val="List Paragraph"/>
    <w:basedOn w:val="a"/>
    <w:uiPriority w:val="34"/>
    <w:qFormat/>
    <w:rsid w:val="00CE1A11"/>
    <w:pPr>
      <w:ind w:left="720"/>
      <w:contextualSpacing/>
    </w:pPr>
  </w:style>
  <w:style w:type="character" w:customStyle="1" w:styleId="Char0">
    <w:name w:val="批注文字 Char"/>
    <w:basedOn w:val="a0"/>
    <w:link w:val="a4"/>
    <w:qFormat/>
    <w:rsid w:val="00CE1A11"/>
    <w:rPr>
      <w:rFonts w:asciiTheme="minorHAnsi" w:eastAsiaTheme="minorEastAsia" w:hAnsiTheme="minorHAnsi" w:cstheme="minorBidi"/>
      <w:kern w:val="2"/>
      <w:lang w:val="en-US"/>
    </w:rPr>
  </w:style>
  <w:style w:type="character" w:customStyle="1" w:styleId="Char">
    <w:name w:val="批注主题 Char"/>
    <w:basedOn w:val="Char0"/>
    <w:link w:val="a3"/>
    <w:qFormat/>
    <w:rsid w:val="00CE1A11"/>
    <w:rPr>
      <w:rFonts w:asciiTheme="minorHAnsi" w:eastAsiaTheme="minorEastAsia" w:hAnsiTheme="minorHAnsi" w:cstheme="minorBidi"/>
      <w:b/>
      <w:bCs/>
      <w:kern w:val="2"/>
      <w:lang w:val="en-US"/>
    </w:rPr>
  </w:style>
  <w:style w:type="paragraph" w:customStyle="1" w:styleId="11">
    <w:name w:val="正文1"/>
    <w:qFormat/>
    <w:rsid w:val="00CE1A11"/>
    <w:pPr>
      <w:widowControl w:val="0"/>
      <w:jc w:val="both"/>
    </w:pPr>
    <w:rPr>
      <w:rFonts w:ascii="仿宋_GB2312" w:eastAsia="仿宋_GB2312"/>
      <w:kern w:val="2"/>
      <w:sz w:val="21"/>
      <w:szCs w:val="21"/>
      <w:lang w:val="en-GB"/>
    </w:rPr>
  </w:style>
  <w:style w:type="character" w:customStyle="1" w:styleId="3Char">
    <w:name w:val="标题 3 Char"/>
    <w:basedOn w:val="a0"/>
    <w:link w:val="3"/>
    <w:qFormat/>
    <w:rsid w:val="00CE1A11"/>
    <w:rPr>
      <w:rFonts w:asciiTheme="majorHAnsi" w:eastAsiaTheme="majorEastAsia" w:hAnsiTheme="majorHAnsi" w:cstheme="majorBidi"/>
      <w:color w:val="1F4E79" w:themeColor="accent1" w:themeShade="80"/>
      <w:kern w:val="2"/>
      <w:sz w:val="24"/>
      <w:szCs w:val="24"/>
      <w:lang w:val="en-US"/>
    </w:rPr>
  </w:style>
  <w:style w:type="character" w:customStyle="1" w:styleId="Char1">
    <w:name w:val="正文文本 Char"/>
    <w:basedOn w:val="a0"/>
    <w:link w:val="a6"/>
    <w:uiPriority w:val="1"/>
    <w:qFormat/>
    <w:rsid w:val="00CE1A11"/>
    <w:rPr>
      <w:rFonts w:ascii="宋体" w:eastAsia="宋体" w:hAnsi="宋体" w:cs="宋体"/>
      <w:sz w:val="28"/>
      <w:szCs w:val="28"/>
      <w:lang w:val="en-US" w:eastAsia="en-US"/>
    </w:rPr>
  </w:style>
  <w:style w:type="paragraph" w:customStyle="1" w:styleId="TableParagraph">
    <w:name w:val="Table Paragraph"/>
    <w:basedOn w:val="a"/>
    <w:uiPriority w:val="1"/>
    <w:qFormat/>
    <w:rsid w:val="00CE1A11"/>
    <w:pPr>
      <w:autoSpaceDE w:val="0"/>
      <w:autoSpaceDN w:val="0"/>
      <w:spacing w:after="0" w:line="240" w:lineRule="auto"/>
      <w:jc w:val="left"/>
    </w:pPr>
    <w:rPr>
      <w:rFonts w:ascii="宋体" w:eastAsia="宋体" w:hAnsi="宋体" w:cs="宋体"/>
      <w:kern w:val="0"/>
      <w:sz w:val="22"/>
      <w:szCs w:val="22"/>
      <w:lang w:eastAsia="en-US"/>
    </w:rPr>
  </w:style>
  <w:style w:type="character" w:customStyle="1" w:styleId="Char5">
    <w:name w:val="脚注文本 Char"/>
    <w:basedOn w:val="a0"/>
    <w:link w:val="aa"/>
    <w:uiPriority w:val="99"/>
    <w:qFormat/>
    <w:rsid w:val="00CE1A11"/>
    <w:rPr>
      <w:rFonts w:ascii="仿宋" w:eastAsia="仿宋" w:hAnsi="仿宋" w:cstheme="minorBidi"/>
      <w:kern w:val="2"/>
      <w:lang w:val="en-US"/>
    </w:rPr>
  </w:style>
  <w:style w:type="paragraph" w:customStyle="1" w:styleId="23">
    <w:name w:val="正文2"/>
    <w:qFormat/>
    <w:rsid w:val="00CE1A11"/>
    <w:rPr>
      <w:rFonts w:ascii="Georgia" w:hAnsi="Georgia"/>
      <w:sz w:val="22"/>
      <w:szCs w:val="22"/>
      <w:lang w:val="en-GB"/>
    </w:rPr>
  </w:style>
  <w:style w:type="paragraph" w:customStyle="1" w:styleId="TOCHeading1">
    <w:name w:val="TOC Heading1"/>
    <w:basedOn w:val="1"/>
    <w:next w:val="a"/>
    <w:uiPriority w:val="39"/>
    <w:unhideWhenUsed/>
    <w:qFormat/>
    <w:rsid w:val="00CE1A11"/>
    <w:pPr>
      <w:keepNext/>
      <w:keepLines/>
      <w:widowControl/>
      <w:numPr>
        <w:numId w:val="0"/>
      </w:numPr>
      <w:spacing w:before="240" w:line="259" w:lineRule="auto"/>
      <w:outlineLvl w:val="9"/>
    </w:pPr>
    <w:rPr>
      <w:rFonts w:asciiTheme="majorHAnsi" w:eastAsiaTheme="majorEastAsia" w:hAnsiTheme="majorHAnsi" w:cstheme="majorBidi" w:hint="default"/>
      <w:color w:val="2E74B5" w:themeColor="accent1" w:themeShade="BF"/>
      <w:kern w:val="0"/>
      <w:lang w:eastAsia="en-US"/>
    </w:rPr>
  </w:style>
  <w:style w:type="paragraph" w:customStyle="1" w:styleId="12">
    <w:name w:val="正文文本1"/>
    <w:basedOn w:val="a"/>
    <w:qFormat/>
    <w:rsid w:val="00CE1A11"/>
    <w:pPr>
      <w:autoSpaceDE w:val="0"/>
      <w:autoSpaceDN w:val="0"/>
      <w:spacing w:after="0" w:line="240" w:lineRule="auto"/>
      <w:ind w:left="352"/>
      <w:jc w:val="left"/>
    </w:pPr>
    <w:rPr>
      <w:rFonts w:ascii="宋体" w:eastAsia="宋体" w:hAnsi="宋体" w:cs="Times New Roman"/>
      <w:kern w:val="0"/>
      <w:sz w:val="28"/>
      <w:szCs w:val="28"/>
      <w:lang w:val="en-GB"/>
    </w:rPr>
  </w:style>
  <w:style w:type="character" w:customStyle="1" w:styleId="b-free-read-leaf">
    <w:name w:val="b-free-read-leaf"/>
    <w:basedOn w:val="a0"/>
    <w:qFormat/>
    <w:rsid w:val="00CE1A11"/>
  </w:style>
  <w:style w:type="paragraph" w:customStyle="1" w:styleId="af3">
    <w:name w:val="所谓正文"/>
    <w:basedOn w:val="ab"/>
    <w:link w:val="af4"/>
    <w:qFormat/>
    <w:rsid w:val="00CE1A11"/>
    <w:pPr>
      <w:widowControl/>
      <w:spacing w:after="0" w:line="620" w:lineRule="exact"/>
      <w:ind w:firstLineChars="200" w:firstLine="200"/>
    </w:pPr>
    <w:rPr>
      <w:rFonts w:ascii="仿宋_GB2312" w:eastAsia="仿宋_GB2312" w:cs="宋体"/>
      <w:color w:val="000000"/>
      <w:kern w:val="24"/>
      <w:sz w:val="32"/>
      <w:szCs w:val="28"/>
    </w:rPr>
  </w:style>
  <w:style w:type="character" w:customStyle="1" w:styleId="af4">
    <w:name w:val="所谓正文 字符"/>
    <w:basedOn w:val="a0"/>
    <w:link w:val="af3"/>
    <w:qFormat/>
    <w:rsid w:val="00CE1A11"/>
    <w:rPr>
      <w:rFonts w:ascii="仿宋_GB2312" w:eastAsia="仿宋_GB2312" w:hAnsi="Times New Roman" w:cs="宋体"/>
      <w:color w:val="000000"/>
      <w:kern w:val="24"/>
      <w:sz w:val="32"/>
      <w:szCs w:val="28"/>
      <w:lang w:val="en-US"/>
    </w:rPr>
  </w:style>
  <w:style w:type="character" w:customStyle="1" w:styleId="Char6">
    <w:name w:val="普通(网站) Char"/>
    <w:basedOn w:val="a0"/>
    <w:link w:val="ab"/>
    <w:uiPriority w:val="99"/>
    <w:qFormat/>
    <w:rsid w:val="00CE1A11"/>
    <w:rPr>
      <w:rFonts w:ascii="Times New Roman" w:eastAsia="仿宋" w:hAnsi="Times New Roman"/>
      <w:kern w:val="2"/>
      <w:sz w:val="24"/>
      <w:szCs w:val="24"/>
      <w:lang w:val="en-US"/>
    </w:rPr>
  </w:style>
  <w:style w:type="character" w:customStyle="1" w:styleId="2Char">
    <w:name w:val="标题 2 Char"/>
    <w:basedOn w:val="a0"/>
    <w:link w:val="2"/>
    <w:qFormat/>
    <w:rsid w:val="00CE1A11"/>
    <w:rPr>
      <w:rFonts w:ascii="楷体" w:eastAsia="楷体" w:hAnsi="楷体"/>
      <w:kern w:val="2"/>
      <w:sz w:val="32"/>
      <w:szCs w:val="32"/>
      <w:lang w:val="en-US"/>
    </w:rPr>
  </w:style>
  <w:style w:type="character" w:customStyle="1" w:styleId="UnresolvedMention1">
    <w:name w:val="Unresolved Mention1"/>
    <w:basedOn w:val="a0"/>
    <w:uiPriority w:val="99"/>
    <w:semiHidden/>
    <w:unhideWhenUsed/>
    <w:qFormat/>
    <w:rsid w:val="00CE1A11"/>
    <w:rPr>
      <w:color w:val="605E5C"/>
      <w:shd w:val="clear" w:color="auto" w:fill="E1DFDD"/>
    </w:rPr>
  </w:style>
  <w:style w:type="paragraph" w:customStyle="1" w:styleId="30">
    <w:name w:val="正文3"/>
    <w:qFormat/>
    <w:rsid w:val="00CE1A11"/>
    <w:rPr>
      <w:rFonts w:ascii="Georgia" w:hAnsi="Georgia"/>
      <w:sz w:val="22"/>
      <w:szCs w:val="22"/>
      <w:lang w:val="en-GB"/>
    </w:rPr>
  </w:style>
  <w:style w:type="paragraph" w:customStyle="1" w:styleId="210">
    <w:name w:val="标题 21"/>
    <w:basedOn w:val="a"/>
    <w:next w:val="30"/>
    <w:semiHidden/>
    <w:qFormat/>
    <w:rsid w:val="00CE1A11"/>
    <w:pPr>
      <w:keepNext/>
      <w:widowControl/>
      <w:spacing w:before="240" w:after="60" w:line="240" w:lineRule="auto"/>
      <w:jc w:val="left"/>
      <w:outlineLvl w:val="1"/>
    </w:pPr>
    <w:rPr>
      <w:rFonts w:ascii="Calibri Light" w:eastAsia="等线 Light" w:hAnsi="Calibri Light" w:cs="Times New Roman"/>
      <w:b/>
      <w:bCs/>
      <w:i/>
      <w:iCs/>
      <w:kern w:val="0"/>
      <w:sz w:val="28"/>
      <w:szCs w:val="28"/>
      <w:lang w:val="en-GB"/>
    </w:rPr>
  </w:style>
  <w:style w:type="table" w:customStyle="1" w:styleId="13">
    <w:name w:val="普通表格1"/>
    <w:semiHidden/>
    <w:qFormat/>
    <w:rsid w:val="00CE1A11"/>
    <w:rPr>
      <w:rFonts w:eastAsia="Times New Roman"/>
    </w:rPr>
    <w:tblPr>
      <w:tblCellMar>
        <w:top w:w="0" w:type="dxa"/>
        <w:left w:w="108" w:type="dxa"/>
        <w:bottom w:w="0" w:type="dxa"/>
        <w:right w:w="108" w:type="dxa"/>
      </w:tblCellMar>
    </w:tblPr>
  </w:style>
  <w:style w:type="character" w:customStyle="1" w:styleId="UnresolvedMention2">
    <w:name w:val="Unresolved Mention2"/>
    <w:basedOn w:val="a0"/>
    <w:uiPriority w:val="99"/>
    <w:semiHidden/>
    <w:unhideWhenUsed/>
    <w:qFormat/>
    <w:rsid w:val="00CE1A11"/>
    <w:rPr>
      <w:color w:val="605E5C"/>
      <w:shd w:val="clear" w:color="auto" w:fill="E1DFDD"/>
    </w:rPr>
  </w:style>
  <w:style w:type="paragraph" w:customStyle="1" w:styleId="4">
    <w:name w:val="正文4"/>
    <w:qFormat/>
    <w:rsid w:val="00CE1A11"/>
    <w:pPr>
      <w:widowControl w:val="0"/>
      <w:spacing w:before="100" w:beforeAutospacing="1" w:after="160" w:line="256" w:lineRule="auto"/>
      <w:jc w:val="both"/>
    </w:pPr>
    <w:rPr>
      <w:rFonts w:ascii="仿宋" w:eastAsia="仿宋" w:hAnsi="仿宋"/>
      <w:kern w:val="2"/>
      <w:sz w:val="32"/>
      <w:szCs w:val="32"/>
      <w:lang w:val="en-GB"/>
    </w:rPr>
  </w:style>
  <w:style w:type="character" w:customStyle="1" w:styleId="Char2">
    <w:name w:val="页眉 Char"/>
    <w:basedOn w:val="a0"/>
    <w:link w:val="a7"/>
    <w:qFormat/>
    <w:rsid w:val="00CE1A11"/>
    <w:rPr>
      <w:rFonts w:ascii="仿宋" w:eastAsia="仿宋" w:hAnsi="仿宋" w:cstheme="minorBidi"/>
      <w:kern w:val="2"/>
      <w:sz w:val="18"/>
      <w:szCs w:val="40"/>
      <w:lang w:val="en-US"/>
    </w:rPr>
  </w:style>
  <w:style w:type="paragraph" w:customStyle="1" w:styleId="50">
    <w:name w:val="正文5"/>
    <w:qFormat/>
    <w:rsid w:val="00CE1A11"/>
    <w:pPr>
      <w:widowControl w:val="0"/>
      <w:jc w:val="both"/>
    </w:pPr>
    <w:rPr>
      <w:rFonts w:ascii="Calibri" w:hAnsi="Calibri" w:cs="Arial"/>
      <w:kern w:val="2"/>
      <w:sz w:val="21"/>
      <w:szCs w:val="21"/>
      <w:lang w:val="en-GB"/>
    </w:rPr>
  </w:style>
  <w:style w:type="paragraph" w:customStyle="1" w:styleId="31">
    <w:name w:val="标题 31"/>
    <w:basedOn w:val="a"/>
    <w:next w:val="50"/>
    <w:qFormat/>
    <w:rsid w:val="00CE1A11"/>
    <w:pPr>
      <w:keepNext/>
      <w:keepLines/>
      <w:spacing w:before="260" w:after="260" w:line="412" w:lineRule="auto"/>
      <w:jc w:val="left"/>
      <w:outlineLvl w:val="2"/>
    </w:pPr>
    <w:rPr>
      <w:rFonts w:ascii="Calibri" w:eastAsia="仿宋_GB2312" w:hAnsi="Calibri" w:cs="Arial"/>
      <w:b/>
      <w:bCs/>
      <w:szCs w:val="32"/>
      <w:lang w:val="en-GB"/>
    </w:rPr>
  </w:style>
  <w:style w:type="table" w:customStyle="1" w:styleId="ListTable3-Accent21">
    <w:name w:val="List Table 3 - Accent 21"/>
    <w:basedOn w:val="a1"/>
    <w:uiPriority w:val="48"/>
    <w:qFormat/>
    <w:rsid w:val="00CE1A11"/>
    <w:tblPr>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14">
    <w:name w:val="1.正文"/>
    <w:basedOn w:val="a"/>
    <w:next w:val="5"/>
    <w:qFormat/>
    <w:rsid w:val="00CE1A11"/>
    <w:pPr>
      <w:adjustRightInd w:val="0"/>
      <w:snapToGrid w:val="0"/>
      <w:spacing w:after="0" w:line="580" w:lineRule="exact"/>
    </w:pPr>
    <w:rPr>
      <w:rFonts w:ascii="Calibri" w:eastAsia="宋体" w:hAnsi="Calibri" w:cs="Times New Roman"/>
      <w:szCs w:val="24"/>
    </w:rPr>
  </w:style>
  <w:style w:type="table" w:customStyle="1" w:styleId="GridTable1Light-Accent21">
    <w:name w:val="Grid Table 1 Light - Accent 21"/>
    <w:basedOn w:val="a1"/>
    <w:uiPriority w:val="46"/>
    <w:qFormat/>
    <w:rsid w:val="00CE1A11"/>
    <w:rPr>
      <w:rFonts w:ascii="Calibri" w:hAnsi="Calibri" w:cs="Calibri"/>
    </w:rPr>
    <w:tblPr>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Af5">
    <w:name w:val="正文 A"/>
    <w:qFormat/>
    <w:rsid w:val="00CE1A11"/>
    <w:pPr>
      <w:widowControl w:val="0"/>
      <w:jc w:val="both"/>
    </w:pPr>
    <w:rPr>
      <w:rFonts w:ascii="Calibri" w:eastAsia="Calibri" w:hAnsi="Calibri" w:cs="Calibri"/>
      <w:color w:val="000000"/>
      <w:kern w:val="2"/>
      <w:sz w:val="21"/>
      <w:szCs w:val="21"/>
    </w:rPr>
  </w:style>
  <w:style w:type="paragraph" w:customStyle="1" w:styleId="WPSOffice1">
    <w:name w:val="WPSOffice手动目录 1"/>
    <w:qFormat/>
    <w:rsid w:val="00CE1A11"/>
  </w:style>
  <w:style w:type="paragraph" w:customStyle="1" w:styleId="WPSOffice2">
    <w:name w:val="WPSOffice手动目录 2"/>
    <w:qFormat/>
    <w:rsid w:val="00CE1A11"/>
    <w:pPr>
      <w:ind w:leftChars="200" w:left="200"/>
    </w:pPr>
  </w:style>
  <w:style w:type="character" w:customStyle="1" w:styleId="Char3">
    <w:name w:val="批注框文本 Char"/>
    <w:basedOn w:val="a0"/>
    <w:link w:val="a8"/>
    <w:qFormat/>
    <w:rsid w:val="00CE1A11"/>
    <w:rPr>
      <w:rFonts w:ascii="仿宋" w:eastAsia="仿宋" w:hAnsi="仿宋" w:cstheme="minorBidi"/>
      <w:kern w:val="2"/>
      <w:sz w:val="18"/>
      <w:szCs w:val="18"/>
    </w:rPr>
  </w:style>
  <w:style w:type="character" w:customStyle="1" w:styleId="NormalCharacter">
    <w:name w:val="NormalCharacter"/>
    <w:qFormat/>
    <w:rsid w:val="00CE1A11"/>
  </w:style>
  <w:style w:type="paragraph" w:customStyle="1" w:styleId="15">
    <w:name w:val="列出段落1"/>
    <w:basedOn w:val="a"/>
    <w:uiPriority w:val="99"/>
    <w:qFormat/>
    <w:rsid w:val="00CE1A11"/>
    <w:pPr>
      <w:ind w:firstLineChars="200" w:firstLine="420"/>
    </w:pPr>
    <w:rPr>
      <w:rFonts w:eastAsia="仿宋_GB2312"/>
    </w:rPr>
  </w:style>
  <w:style w:type="character" w:customStyle="1" w:styleId="UnresolvedMention">
    <w:name w:val="Unresolved Mention"/>
    <w:basedOn w:val="a0"/>
    <w:uiPriority w:val="99"/>
    <w:semiHidden/>
    <w:unhideWhenUsed/>
    <w:qFormat/>
    <w:rsid w:val="00CE1A11"/>
    <w:rPr>
      <w:color w:val="605E5C"/>
      <w:shd w:val="clear" w:color="auto" w:fill="E1DFDD"/>
    </w:rPr>
  </w:style>
  <w:style w:type="paragraph" w:customStyle="1" w:styleId="TOC1">
    <w:name w:val="TOC 标题1"/>
    <w:basedOn w:val="1"/>
    <w:next w:val="a"/>
    <w:uiPriority w:val="39"/>
    <w:unhideWhenUsed/>
    <w:qFormat/>
    <w:rsid w:val="00CE1A11"/>
    <w:pPr>
      <w:keepNext/>
      <w:keepLines/>
      <w:widowControl/>
      <w:numPr>
        <w:numId w:val="0"/>
      </w:numPr>
      <w:spacing w:before="240" w:line="259" w:lineRule="auto"/>
      <w:outlineLvl w:val="9"/>
    </w:pPr>
    <w:rPr>
      <w:rFonts w:asciiTheme="majorHAnsi" w:eastAsiaTheme="majorEastAsia" w:hAnsiTheme="majorHAnsi" w:cstheme="majorBidi" w:hint="default"/>
      <w:color w:val="2E74B5" w:themeColor="accent1" w:themeShade="BF"/>
      <w:kern w:val="0"/>
    </w:rPr>
  </w:style>
  <w:style w:type="paragraph" w:customStyle="1" w:styleId="6">
    <w:name w:val="正文6"/>
    <w:next w:val="a"/>
    <w:qFormat/>
    <w:rsid w:val="00CE1A11"/>
    <w:pPr>
      <w:widowControl w:val="0"/>
      <w:spacing w:before="100" w:beforeAutospacing="1" w:after="160" w:line="256" w:lineRule="auto"/>
      <w:jc w:val="both"/>
    </w:pPr>
    <w:rPr>
      <w:rFonts w:ascii="仿宋" w:eastAsia="仿宋" w:hAnsi="仿宋"/>
      <w:kern w:val="2"/>
      <w:sz w:val="32"/>
      <w:szCs w:val="32"/>
      <w:lang w:val="en-GB"/>
    </w:rPr>
  </w:style>
  <w:style w:type="table" w:customStyle="1" w:styleId="-11">
    <w:name w:val="浅色列表 - 强调文字颜色 11"/>
    <w:basedOn w:val="a1"/>
    <w:uiPriority w:val="61"/>
    <w:qFormat/>
    <w:rsid w:val="00CE1A11"/>
    <w:tblPr>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51">
    <w:name w:val="5文章(治)"/>
    <w:basedOn w:val="a"/>
    <w:qFormat/>
    <w:rsid w:val="00CE1A11"/>
    <w:pPr>
      <w:spacing w:line="360" w:lineRule="auto"/>
      <w:ind w:firstLineChars="200" w:firstLine="480"/>
    </w:pPr>
    <w:rPr>
      <w:color w:val="000000"/>
      <w:kern w:val="0"/>
      <w:sz w:val="24"/>
      <w:lang w:val="en-GB"/>
    </w:rPr>
  </w:style>
  <w:style w:type="character" w:customStyle="1" w:styleId="Char4">
    <w:name w:val="页脚 Char"/>
    <w:basedOn w:val="a0"/>
    <w:link w:val="a9"/>
    <w:uiPriority w:val="99"/>
    <w:qFormat/>
    <w:rsid w:val="00CE1A11"/>
    <w:rPr>
      <w:rFonts w:ascii="仿宋" w:eastAsia="仿宋" w:hAnsi="仿宋" w:cstheme="minorBidi"/>
      <w:kern w:val="2"/>
      <w:sz w:val="18"/>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3031</Words>
  <Characters>17281</Characters>
  <Application>Microsoft Office Word</Application>
  <DocSecurity>0</DocSecurity>
  <Lines>144</Lines>
  <Paragraphs>40</Paragraphs>
  <ScaleCrop>false</ScaleCrop>
  <Company>Microsoft</Company>
  <LinksUpToDate>false</LinksUpToDate>
  <CharactersWithSpaces>20272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Tang</dc:creator>
  <cp:lastModifiedBy>江鹭燕</cp:lastModifiedBy>
  <cp:revision>7</cp:revision>
  <cp:lastPrinted>2022-09-19T08:53:00Z</cp:lastPrinted>
  <dcterms:created xsi:type="dcterms:W3CDTF">2022-09-19T00:56:00Z</dcterms:created>
  <dcterms:modified xsi:type="dcterms:W3CDTF">2022-09-19T08:54:00Z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717887A231224F7D8A7E652EEC785567</vt:lpwstr>
  </property>
</Properties>
</file>