
<file path=[Content_Types].xml><?xml version="1.0" encoding="utf-8"?>
<Types xmlns="http://schemas.openxmlformats.org/package/2006/content-types">
  <Default Extension="xml" ContentType="application/xml"/>
  <Default Extension="doc" ContentType="application/msword"/>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宋体" w:eastAsia="黑体" w:cs="黑体"/>
          <w:szCs w:val="32"/>
        </w:rPr>
      </w:pPr>
      <w:r>
        <w:rPr>
          <w:rFonts w:hint="eastAsia" w:ascii="黑体" w:hAnsi="宋体" w:eastAsia="黑体" w:cs="黑体"/>
          <w:sz w:val="32"/>
          <w:szCs w:val="32"/>
        </w:rPr>
        <w:t>附件2</w:t>
      </w:r>
    </w:p>
    <w:p>
      <w:pPr>
        <w:pStyle w:val="2"/>
        <w:widowControl/>
        <w:spacing w:line="800" w:lineRule="exact"/>
        <w:rPr>
          <w:rFonts w:hint="default" w:ascii="方正小标宋简体" w:hAnsi="方正小标宋简体" w:eastAsia="方正小标宋简体" w:cs="方正小标宋简体"/>
          <w:spacing w:val="-10"/>
          <w:szCs w:val="44"/>
        </w:rPr>
      </w:pPr>
      <w:r>
        <w:rPr>
          <w:rFonts w:ascii="方正小标宋简体" w:hAnsi="方正小标宋简体" w:eastAsia="方正小标宋简体" w:cs="方正小标宋简体"/>
          <w:spacing w:val="-10"/>
          <w:szCs w:val="44"/>
        </w:rPr>
        <w:t>厦门市森林防灭火指挥部成员单位联系方式</w:t>
      </w:r>
    </w:p>
    <w:tbl>
      <w:tblPr>
        <w:tblStyle w:val="6"/>
        <w:tblpPr w:leftFromText="180" w:rightFromText="180" w:vertAnchor="text" w:horzAnchor="page" w:tblpX="1856" w:tblpY="236"/>
        <w:tblOverlap w:val="never"/>
        <w:tblW w:w="8518" w:type="dxa"/>
        <w:tblInd w:w="0" w:type="dxa"/>
        <w:tblLayout w:type="fixed"/>
        <w:tblCellMar>
          <w:top w:w="0" w:type="dxa"/>
          <w:left w:w="108" w:type="dxa"/>
          <w:bottom w:w="0" w:type="dxa"/>
          <w:right w:w="108" w:type="dxa"/>
        </w:tblCellMar>
      </w:tblPr>
      <w:tblGrid>
        <w:gridCol w:w="3744"/>
        <w:gridCol w:w="2377"/>
        <w:gridCol w:w="2397"/>
      </w:tblGrid>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b/>
                <w:color w:val="000000"/>
                <w:szCs w:val="32"/>
              </w:rPr>
            </w:pPr>
            <w:r>
              <w:rPr>
                <w:rFonts w:hint="eastAsia" w:ascii="仿宋_GB2312" w:hAnsi="宋体" w:eastAsia="仿宋_GB2312" w:cs="仿宋_GB2312"/>
                <w:b/>
                <w:color w:val="000000"/>
                <w:kern w:val="0"/>
                <w:sz w:val="32"/>
                <w:szCs w:val="32"/>
              </w:rPr>
              <w:t>单  位</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b/>
                <w:color w:val="000000"/>
                <w:szCs w:val="32"/>
              </w:rPr>
            </w:pPr>
            <w:r>
              <w:rPr>
                <w:rFonts w:hint="eastAsia" w:ascii="仿宋_GB2312" w:hAnsi="宋体" w:eastAsia="仿宋_GB2312" w:cs="仿宋_GB2312"/>
                <w:b/>
                <w:color w:val="000000"/>
                <w:kern w:val="0"/>
                <w:sz w:val="32"/>
                <w:szCs w:val="32"/>
              </w:rPr>
              <w:t>值班电话</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b/>
                <w:color w:val="000000"/>
                <w:szCs w:val="32"/>
              </w:rPr>
            </w:pPr>
            <w:r>
              <w:rPr>
                <w:rFonts w:hint="eastAsia" w:ascii="仿宋_GB2312" w:hAnsi="宋体" w:eastAsia="仿宋_GB2312" w:cs="仿宋_GB2312"/>
                <w:b/>
                <w:color w:val="000000"/>
                <w:kern w:val="0"/>
                <w:sz w:val="32"/>
                <w:szCs w:val="32"/>
              </w:rPr>
              <w:t>传真</w:t>
            </w:r>
          </w:p>
        </w:tc>
      </w:tr>
      <w:tr>
        <w:tblPrEx>
          <w:tblLayout w:type="fixed"/>
          <w:tblCellMar>
            <w:top w:w="0" w:type="dxa"/>
            <w:left w:w="108" w:type="dxa"/>
            <w:bottom w:w="0" w:type="dxa"/>
            <w:right w:w="108" w:type="dxa"/>
          </w:tblCellMar>
        </w:tblPrEx>
        <w:trPr>
          <w:trHeight w:val="570"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省森防办</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0591-87551310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0591-87526205</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市委总值班室</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5052308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2891100</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市政府总值班室</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5052330/2891333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2891593</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市应急局/市森防办</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2035555/5204119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2699965</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市市政园林局</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5181120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2667965</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市公安局</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5396181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5396266</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市消防救援支队</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5302222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5302212</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龙岩森林消防支队</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0597-2956000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0597-2956000</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厦门警备区</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6332101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6332102</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市委宣传部</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2893700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2893744</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市网信办</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2278680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5055159</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市发改委</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2896111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2896094</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市教育局</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2135593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2135592</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市科技局</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2021808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2024555</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市工信局</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5659273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2896874</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市民宗局</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5329836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5329811</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市公安局森林警察支队</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5396181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5396266</w:t>
            </w:r>
          </w:p>
        </w:tc>
      </w:tr>
      <w:tr>
        <w:tblPrEx>
          <w:tblLayout w:type="fixed"/>
          <w:tblCellMar>
            <w:top w:w="0" w:type="dxa"/>
            <w:left w:w="108" w:type="dxa"/>
            <w:bottom w:w="0" w:type="dxa"/>
            <w:right w:w="108" w:type="dxa"/>
          </w:tblCellMar>
        </w:tblPrEx>
        <w:trPr>
          <w:trHeight w:val="570"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市民政局</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2892110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2892109</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市财政局</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2858222/2858333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2858140</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市资源规划局</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2855390/5108195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2855393</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市交通局</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2852888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2852960</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市农业农村局</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2892333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2892333</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市文旅局</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5371159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2031826</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市卫健委</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2058120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2072568</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市退役军人局</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2226110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2226109</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市市政园林局</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5181120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2667965</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市执法局</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2056110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5361405</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市通信管理局</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5099499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5037247</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市气象局</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6012884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6013033</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spacing w:val="-20"/>
                <w:kern w:val="0"/>
                <w:sz w:val="28"/>
                <w:szCs w:val="28"/>
              </w:rPr>
              <w:t>省森林消防总队厦门市驻防分队</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6283619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6283619</w:t>
            </w:r>
          </w:p>
        </w:tc>
      </w:tr>
      <w:tr>
        <w:tblPrEx>
          <w:tblLayout w:type="fixed"/>
          <w:tblCellMar>
            <w:top w:w="0" w:type="dxa"/>
            <w:left w:w="108" w:type="dxa"/>
            <w:bottom w:w="0" w:type="dxa"/>
            <w:right w:w="108" w:type="dxa"/>
          </w:tblCellMar>
        </w:tblPrEx>
        <w:trPr>
          <w:trHeight w:val="570"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73051部队</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6347102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6347061</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武警厦门支队</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3269110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3269099</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厦门广电集团</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5301301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5301206</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国网厦门供电公司</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2266886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2266660</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思明区森防办</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2667011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2667226</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湖里区森防办</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5653025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5722143</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集美区森防办</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6068212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6688593</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海沧区森防办</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6051068</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6587630</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同安区森防办</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7022527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7367368</w:t>
            </w:r>
          </w:p>
        </w:tc>
      </w:tr>
      <w:tr>
        <w:tblPrEx>
          <w:tblLayout w:type="fixed"/>
          <w:tblCellMar>
            <w:top w:w="0" w:type="dxa"/>
            <w:left w:w="108" w:type="dxa"/>
            <w:bottom w:w="0" w:type="dxa"/>
            <w:right w:w="108" w:type="dxa"/>
          </w:tblCellMar>
        </w:tblPrEx>
        <w:trPr>
          <w:trHeight w:val="285" w:hRule="atLeast"/>
        </w:trPr>
        <w:tc>
          <w:tcPr>
            <w:tcW w:w="3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仿宋_GB2312"/>
                <w:color w:val="000000"/>
                <w:sz w:val="28"/>
                <w:szCs w:val="28"/>
              </w:rPr>
            </w:pPr>
            <w:r>
              <w:rPr>
                <w:rFonts w:hint="eastAsia" w:ascii="仿宋_GB2312" w:hAnsi="宋体" w:eastAsia="仿宋_GB2312" w:cs="仿宋_GB2312"/>
                <w:color w:val="000000"/>
                <w:kern w:val="0"/>
                <w:sz w:val="28"/>
                <w:szCs w:val="28"/>
              </w:rPr>
              <w:t>翔安区森防办</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7889300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7889906</w:t>
            </w:r>
          </w:p>
        </w:tc>
      </w:tr>
    </w:tbl>
    <w:p>
      <w:pPr>
        <w:spacing w:line="600" w:lineRule="exact"/>
        <w:rPr>
          <w:rFonts w:ascii="黑体" w:hAnsi="宋体" w:eastAsia="黑体" w:cs="黑体"/>
          <w:szCs w:val="32"/>
        </w:rPr>
      </w:pPr>
      <w:r>
        <w:rPr>
          <w:rFonts w:hint="eastAsia" w:ascii="黑体" w:hAnsi="宋体" w:eastAsia="黑体" w:cs="黑体"/>
          <w:sz w:val="32"/>
          <w:szCs w:val="32"/>
        </w:rPr>
        <w:t>附件3</w:t>
      </w:r>
    </w:p>
    <w:p>
      <w:pPr>
        <w:adjustRightInd w:val="0"/>
        <w:spacing w:line="596" w:lineRule="exact"/>
        <w:jc w:val="center"/>
        <w:textAlignment w:val="top"/>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森林火险预警信号分级及标识</w:t>
      </w:r>
    </w:p>
    <w:p>
      <w:pPr>
        <w:adjustRightInd w:val="0"/>
        <w:spacing w:line="596" w:lineRule="exact"/>
        <w:textAlignment w:val="top"/>
        <w:rPr>
          <w:rFonts w:ascii="仿宋_GB2312" w:hAnsi="仿宋_GB2312" w:eastAsia="仿宋_GB2312" w:cs="仿宋_GB2312"/>
          <w:sz w:val="31"/>
          <w:szCs w:val="31"/>
        </w:rPr>
      </w:pPr>
    </w:p>
    <w:p>
      <w:pPr>
        <w:adjustRightInd w:val="0"/>
        <w:spacing w:line="596" w:lineRule="exact"/>
        <w:ind w:firstLine="640" w:firstLineChars="200"/>
        <w:textAlignment w:val="top"/>
        <w:rPr>
          <w:rFonts w:ascii="黑体" w:hAnsi="宋体" w:eastAsia="黑体" w:cs="黑体"/>
          <w:szCs w:val="32"/>
        </w:rPr>
      </w:pPr>
      <w:r>
        <w:rPr>
          <w:rFonts w:hint="eastAsia" w:ascii="黑体" w:hAnsi="宋体" w:eastAsia="黑体" w:cs="黑体"/>
          <w:sz w:val="32"/>
          <w:szCs w:val="32"/>
        </w:rPr>
        <w:t>一、范围</w:t>
      </w:r>
    </w:p>
    <w:p>
      <w:pPr>
        <w:adjustRightInd w:val="0"/>
        <w:spacing w:line="596" w:lineRule="exact"/>
        <w:ind w:firstLine="640" w:firstLineChars="200"/>
        <w:textAlignment w:val="top"/>
        <w:rPr>
          <w:rFonts w:ascii="仿宋_GB2312" w:hAnsi="仿宋_GB2312" w:eastAsia="仿宋_GB2312" w:cs="仿宋_GB2312"/>
          <w:szCs w:val="32"/>
        </w:rPr>
      </w:pPr>
      <w:r>
        <w:rPr>
          <w:rFonts w:hint="eastAsia" w:ascii="仿宋_GB2312" w:hAnsi="仿宋_GB2312" w:eastAsia="仿宋_GB2312" w:cs="仿宋_GB2312"/>
          <w:sz w:val="32"/>
          <w:szCs w:val="32"/>
        </w:rPr>
        <w:t>本标准规定了森林火险预警信号的分级、含义，预警信号的标识。</w:t>
      </w:r>
    </w:p>
    <w:p>
      <w:pPr>
        <w:adjustRightInd w:val="0"/>
        <w:spacing w:line="596" w:lineRule="exact"/>
        <w:ind w:firstLine="640" w:firstLineChars="200"/>
        <w:textAlignment w:val="top"/>
        <w:rPr>
          <w:rFonts w:ascii="仿宋_GB2312" w:hAnsi="仿宋_GB2312" w:eastAsia="仿宋_GB2312" w:cs="仿宋_GB2312"/>
          <w:szCs w:val="32"/>
        </w:rPr>
      </w:pPr>
      <w:r>
        <w:rPr>
          <w:rFonts w:hint="eastAsia" w:ascii="仿宋_GB2312" w:hAnsi="仿宋_GB2312" w:eastAsia="仿宋_GB2312" w:cs="仿宋_GB2312"/>
          <w:sz w:val="32"/>
          <w:szCs w:val="32"/>
        </w:rPr>
        <w:t>本标准适用于全市森林火险预警信号的制作和发布。</w:t>
      </w:r>
    </w:p>
    <w:p>
      <w:pPr>
        <w:adjustRightInd w:val="0"/>
        <w:spacing w:line="596" w:lineRule="exact"/>
        <w:ind w:firstLine="640" w:firstLineChars="200"/>
        <w:textAlignment w:val="top"/>
        <w:rPr>
          <w:rFonts w:ascii="黑体" w:hAnsi="宋体" w:eastAsia="黑体" w:cs="黑体"/>
          <w:szCs w:val="32"/>
        </w:rPr>
      </w:pPr>
      <w:r>
        <w:rPr>
          <w:rFonts w:hint="eastAsia" w:ascii="黑体" w:hAnsi="宋体" w:eastAsia="黑体" w:cs="黑体"/>
          <w:sz w:val="32"/>
          <w:szCs w:val="32"/>
        </w:rPr>
        <w:t>二、术语和定义</w:t>
      </w:r>
    </w:p>
    <w:p>
      <w:pPr>
        <w:adjustRightInd w:val="0"/>
        <w:spacing w:line="596" w:lineRule="exact"/>
        <w:ind w:firstLine="640" w:firstLineChars="200"/>
        <w:textAlignment w:val="top"/>
        <w:rPr>
          <w:rFonts w:ascii="仿宋_GB2312" w:hAnsi="仿宋_GB2312" w:eastAsia="仿宋_GB2312" w:cs="仿宋_GB2312"/>
          <w:szCs w:val="32"/>
        </w:rPr>
      </w:pPr>
      <w:r>
        <w:rPr>
          <w:rFonts w:hint="eastAsia" w:ascii="仿宋_GB2312" w:hAnsi="仿宋_GB2312" w:eastAsia="仿宋_GB2312" w:cs="仿宋_GB2312"/>
          <w:sz w:val="32"/>
          <w:szCs w:val="32"/>
        </w:rPr>
        <w:t>下列术语和定义适用于本文件。</w:t>
      </w:r>
    </w:p>
    <w:p>
      <w:pPr>
        <w:adjustRightInd w:val="0"/>
        <w:spacing w:line="596" w:lineRule="exact"/>
        <w:ind w:firstLine="643" w:firstLineChars="200"/>
        <w:textAlignment w:val="top"/>
        <w:rPr>
          <w:rFonts w:ascii="楷体_GB2312" w:hAnsi="楷体_GB2312" w:eastAsia="楷体_GB2312" w:cs="楷体_GB2312"/>
          <w:b/>
          <w:szCs w:val="32"/>
        </w:rPr>
      </w:pPr>
      <w:r>
        <w:rPr>
          <w:rFonts w:hint="eastAsia" w:ascii="楷体_GB2312" w:hAnsi="楷体_GB2312" w:eastAsia="楷体_GB2312" w:cs="楷体_GB2312"/>
          <w:b/>
          <w:sz w:val="32"/>
          <w:szCs w:val="32"/>
        </w:rPr>
        <w:t>（一）森林可燃物</w:t>
      </w:r>
    </w:p>
    <w:p>
      <w:pPr>
        <w:adjustRightInd w:val="0"/>
        <w:spacing w:line="596" w:lineRule="exact"/>
        <w:ind w:firstLine="640" w:firstLineChars="200"/>
        <w:textAlignment w:val="top"/>
        <w:rPr>
          <w:rFonts w:ascii="仿宋_GB2312" w:hAnsi="仿宋_GB2312" w:eastAsia="仿宋_GB2312" w:cs="仿宋_GB2312"/>
          <w:szCs w:val="32"/>
        </w:rPr>
      </w:pPr>
      <w:r>
        <w:rPr>
          <w:rFonts w:hint="eastAsia" w:ascii="仿宋_GB2312" w:hAnsi="仿宋_GB2312" w:eastAsia="仿宋_GB2312" w:cs="仿宋_GB2312"/>
          <w:sz w:val="32"/>
          <w:szCs w:val="32"/>
        </w:rPr>
        <w:t>森林中一切可以燃烧的物质，包括乔木、灌木、草本、凋落物、腐殖质、枯立木等。</w:t>
      </w:r>
    </w:p>
    <w:p>
      <w:pPr>
        <w:adjustRightInd w:val="0"/>
        <w:spacing w:line="596" w:lineRule="exact"/>
        <w:ind w:firstLine="643" w:firstLineChars="200"/>
        <w:textAlignment w:val="top"/>
        <w:rPr>
          <w:rFonts w:ascii="楷体_GB2312" w:hAnsi="楷体_GB2312" w:eastAsia="楷体_GB2312" w:cs="楷体_GB2312"/>
          <w:b/>
          <w:szCs w:val="32"/>
        </w:rPr>
      </w:pPr>
      <w:r>
        <w:rPr>
          <w:rFonts w:hint="eastAsia" w:ascii="楷体_GB2312" w:hAnsi="楷体_GB2312" w:eastAsia="楷体_GB2312" w:cs="楷体_GB2312"/>
          <w:b/>
          <w:sz w:val="32"/>
          <w:szCs w:val="32"/>
        </w:rPr>
        <w:t>（二）森林火险等级</w:t>
      </w:r>
    </w:p>
    <w:p>
      <w:pPr>
        <w:adjustRightInd w:val="0"/>
        <w:spacing w:line="596" w:lineRule="exact"/>
        <w:ind w:firstLine="640" w:firstLineChars="200"/>
        <w:textAlignment w:val="top"/>
        <w:rPr>
          <w:rFonts w:ascii="仿宋_GB2312" w:hAnsi="仿宋_GB2312" w:eastAsia="仿宋_GB2312" w:cs="仿宋_GB2312"/>
          <w:szCs w:val="32"/>
        </w:rPr>
      </w:pPr>
      <w:r>
        <w:rPr>
          <w:rFonts w:hint="eastAsia" w:ascii="仿宋_GB2312" w:hAnsi="仿宋_GB2312" w:eastAsia="仿宋_GB2312" w:cs="仿宋_GB2312"/>
          <w:sz w:val="32"/>
          <w:szCs w:val="32"/>
        </w:rPr>
        <w:t>将森林火险按森林可燃物的易燃程度和蔓延程度进行分级，表示发生森林火灾危险程度的指标，共分为五级，自一级至五级，危险程度逐级升高。</w:t>
      </w:r>
    </w:p>
    <w:p>
      <w:pPr>
        <w:adjustRightInd w:val="0"/>
        <w:spacing w:line="596" w:lineRule="exact"/>
        <w:ind w:firstLine="643" w:firstLineChars="200"/>
        <w:textAlignment w:val="top"/>
        <w:rPr>
          <w:rFonts w:ascii="楷体_GB2312" w:hAnsi="楷体_GB2312" w:eastAsia="楷体_GB2312" w:cs="楷体_GB2312"/>
          <w:b/>
          <w:szCs w:val="32"/>
        </w:rPr>
      </w:pPr>
      <w:r>
        <w:rPr>
          <w:rFonts w:hint="eastAsia" w:ascii="楷体_GB2312" w:hAnsi="楷体_GB2312" w:eastAsia="楷体_GB2312" w:cs="楷体_GB2312"/>
          <w:b/>
          <w:sz w:val="32"/>
          <w:szCs w:val="32"/>
        </w:rPr>
        <w:t>（三）森林火险预警信号</w:t>
      </w:r>
    </w:p>
    <w:p>
      <w:pPr>
        <w:adjustRightInd w:val="0"/>
        <w:spacing w:line="596" w:lineRule="exact"/>
        <w:ind w:firstLine="640" w:firstLineChars="200"/>
        <w:textAlignment w:val="top"/>
        <w:rPr>
          <w:rFonts w:ascii="仿宋_GB2312" w:hAnsi="仿宋_GB2312" w:eastAsia="仿宋_GB2312" w:cs="仿宋_GB2312"/>
          <w:szCs w:val="32"/>
        </w:rPr>
      </w:pPr>
      <w:r>
        <w:rPr>
          <w:rFonts w:hint="eastAsia" w:ascii="仿宋_GB2312" w:hAnsi="仿宋_GB2312" w:eastAsia="仿宋_GB2312" w:cs="仿宋_GB2312"/>
          <w:sz w:val="32"/>
          <w:szCs w:val="32"/>
        </w:rPr>
        <w:t>依据森林火险等级及未来发展趋势由森林防灭火指挥机构所发布的预警信号，共划分为中度危险、较高危险、高度危险、极度危险四个等级，依次为蓝色、黄色、橙色、红色预警信号，其中橙色、红色为高森林火险预警信号。</w:t>
      </w:r>
    </w:p>
    <w:p>
      <w:pPr>
        <w:adjustRightInd w:val="0"/>
        <w:spacing w:line="596" w:lineRule="exact"/>
        <w:ind w:firstLine="643" w:firstLineChars="200"/>
        <w:textAlignment w:val="top"/>
        <w:rPr>
          <w:rFonts w:ascii="楷体_GB2312" w:hAnsi="楷体_GB2312" w:eastAsia="楷体_GB2312" w:cs="楷体_GB2312"/>
          <w:b/>
          <w:szCs w:val="32"/>
        </w:rPr>
      </w:pPr>
      <w:r>
        <w:rPr>
          <w:rFonts w:hint="eastAsia" w:ascii="楷体_GB2312" w:hAnsi="楷体_GB2312" w:eastAsia="楷体_GB2312" w:cs="楷体_GB2312"/>
          <w:b/>
          <w:sz w:val="32"/>
          <w:szCs w:val="32"/>
        </w:rPr>
        <w:t>（四）预警区域</w:t>
      </w:r>
    </w:p>
    <w:p>
      <w:pPr>
        <w:adjustRightInd w:val="0"/>
        <w:spacing w:line="596" w:lineRule="exact"/>
        <w:ind w:firstLine="640" w:firstLineChars="200"/>
        <w:textAlignment w:val="top"/>
        <w:rPr>
          <w:rFonts w:ascii="仿宋_GB2312" w:hAnsi="仿宋_GB2312" w:eastAsia="仿宋_GB2312" w:cs="仿宋_GB2312"/>
          <w:szCs w:val="32"/>
        </w:rPr>
      </w:pPr>
      <w:r>
        <w:rPr>
          <w:rFonts w:hint="eastAsia" w:ascii="仿宋_GB2312" w:hAnsi="仿宋_GB2312" w:eastAsia="仿宋_GB2312" w:cs="仿宋_GB2312"/>
          <w:sz w:val="32"/>
          <w:szCs w:val="32"/>
        </w:rPr>
        <w:t>在未来一天至多天可能出现二级以上森林火险，由森林防灭火指挥机构发布森林火险预警信号的对象区域。</w:t>
      </w:r>
    </w:p>
    <w:p>
      <w:pPr>
        <w:adjustRightInd w:val="0"/>
        <w:spacing w:line="596" w:lineRule="exact"/>
        <w:ind w:firstLine="643" w:firstLineChars="200"/>
        <w:textAlignment w:val="top"/>
        <w:rPr>
          <w:rFonts w:ascii="楷体_GB2312" w:hAnsi="楷体_GB2312" w:eastAsia="楷体_GB2312" w:cs="楷体_GB2312"/>
          <w:b/>
          <w:szCs w:val="32"/>
        </w:rPr>
      </w:pPr>
      <w:r>
        <w:rPr>
          <w:rFonts w:hint="eastAsia" w:ascii="楷体_GB2312" w:hAnsi="楷体_GB2312" w:eastAsia="楷体_GB2312" w:cs="楷体_GB2312"/>
          <w:b/>
          <w:sz w:val="32"/>
          <w:szCs w:val="32"/>
        </w:rPr>
        <w:t>（五）预警信号标识</w:t>
      </w:r>
    </w:p>
    <w:p>
      <w:pPr>
        <w:adjustRightInd w:val="0"/>
        <w:spacing w:line="596" w:lineRule="exact"/>
        <w:ind w:firstLine="640" w:firstLineChars="200"/>
        <w:textAlignment w:val="top"/>
        <w:rPr>
          <w:rFonts w:ascii="仿宋_GB2312" w:hAnsi="仿宋_GB2312" w:eastAsia="仿宋_GB2312" w:cs="仿宋_GB2312"/>
          <w:szCs w:val="32"/>
        </w:rPr>
      </w:pPr>
      <w:r>
        <w:rPr>
          <w:rFonts w:hint="eastAsia" w:ascii="仿宋_GB2312" w:hAnsi="仿宋_GB2312" w:eastAsia="仿宋_GB2312" w:cs="仿宋_GB2312"/>
          <w:sz w:val="32"/>
          <w:szCs w:val="32"/>
        </w:rPr>
        <w:t>森林火险预警信号标识是森林防灭火指挥机构用于发布森林火险预警信号的图形标识，依据预警等级的不同，使用相应的颜色和文字标识预警等级的不同。</w:t>
      </w:r>
    </w:p>
    <w:p>
      <w:pPr>
        <w:adjustRightInd w:val="0"/>
        <w:spacing w:line="596" w:lineRule="exact"/>
        <w:ind w:firstLine="640" w:firstLineChars="200"/>
        <w:textAlignment w:val="top"/>
        <w:rPr>
          <w:rFonts w:ascii="黑体" w:hAnsi="宋体" w:eastAsia="黑体" w:cs="黑体"/>
          <w:szCs w:val="32"/>
        </w:rPr>
      </w:pPr>
      <w:r>
        <w:rPr>
          <w:rFonts w:hint="eastAsia" w:ascii="黑体" w:hAnsi="宋体" w:eastAsia="黑体" w:cs="黑体"/>
          <w:sz w:val="32"/>
          <w:szCs w:val="32"/>
        </w:rPr>
        <w:t>三、分级</w:t>
      </w:r>
    </w:p>
    <w:p>
      <w:pPr>
        <w:adjustRightInd w:val="0"/>
        <w:spacing w:line="596" w:lineRule="exact"/>
        <w:ind w:firstLine="640" w:firstLineChars="200"/>
        <w:textAlignment w:val="top"/>
        <w:rPr>
          <w:rFonts w:ascii="仿宋_GB2312" w:hAnsi="仿宋_GB2312" w:eastAsia="仿宋_GB2312" w:cs="仿宋_GB2312"/>
          <w:szCs w:val="32"/>
        </w:rPr>
      </w:pPr>
      <w:r>
        <w:rPr>
          <w:rFonts w:hint="eastAsia" w:ascii="仿宋_GB2312" w:hAnsi="仿宋_GB2312" w:eastAsia="仿宋_GB2312" w:cs="仿宋_GB2312"/>
          <w:sz w:val="32"/>
          <w:szCs w:val="32"/>
        </w:rPr>
        <w:t>（一）依据预警区域未来一天至多天出现二级以上森林火险等级的具体情况，将预警信号分为四个等级，依次为蓝色、黄色、橙色、红色。其中橙色、红色为高森林火险预警信号。</w:t>
      </w:r>
    </w:p>
    <w:p>
      <w:pPr>
        <w:adjustRightInd w:val="0"/>
        <w:spacing w:line="596" w:lineRule="exact"/>
        <w:ind w:firstLine="640" w:firstLineChars="200"/>
        <w:textAlignment w:val="top"/>
        <w:rPr>
          <w:rFonts w:ascii="仿宋_GB2312" w:hAnsi="仿宋_GB2312" w:eastAsia="仿宋_GB2312" w:cs="仿宋_GB2312"/>
          <w:szCs w:val="32"/>
        </w:rPr>
      </w:pPr>
      <w:r>
        <w:rPr>
          <w:rFonts w:hint="eastAsia" w:ascii="仿宋_GB2312" w:hAnsi="仿宋_GB2312" w:eastAsia="仿宋_GB2312" w:cs="仿宋_GB2312"/>
          <w:sz w:val="32"/>
          <w:szCs w:val="32"/>
        </w:rPr>
        <w:t>（二）森林火险等级与森林火险预警信号对应关系如下表：</w:t>
      </w:r>
    </w:p>
    <w:tbl>
      <w:tblPr>
        <w:tblStyle w:val="6"/>
        <w:tblW w:w="8376" w:type="dxa"/>
        <w:tblCellSpacing w:w="0"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7"/>
        <w:gridCol w:w="1423"/>
        <w:gridCol w:w="1423"/>
        <w:gridCol w:w="1425"/>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blCellSpacing w:w="0" w:type="dxa"/>
        </w:trPr>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b/>
                <w:sz w:val="28"/>
                <w:szCs w:val="28"/>
              </w:rPr>
            </w:pPr>
            <w:r>
              <w:rPr>
                <w:rFonts w:hint="eastAsia" w:ascii="仿宋_GB2312" w:hAnsi="仿宋_GB2312" w:eastAsia="仿宋_GB2312" w:cs="仿宋_GB2312"/>
                <w:b/>
                <w:sz w:val="28"/>
                <w:szCs w:val="28"/>
              </w:rPr>
              <w:t>森林火险</w:t>
            </w:r>
          </w:p>
          <w:p>
            <w:pPr>
              <w:adjustRightInd w:val="0"/>
              <w:snapToGrid w:val="0"/>
              <w:spacing w:line="500" w:lineRule="exact"/>
              <w:ind w:firstLine="23"/>
              <w:jc w:val="center"/>
              <w:textAlignment w:val="top"/>
              <w:rPr>
                <w:rFonts w:ascii="仿宋_GB2312" w:hAnsi="仿宋_GB2312" w:eastAsia="仿宋_GB2312" w:cs="仿宋_GB2312"/>
                <w:b/>
                <w:sz w:val="28"/>
                <w:szCs w:val="28"/>
              </w:rPr>
            </w:pPr>
            <w:r>
              <w:rPr>
                <w:rFonts w:hint="eastAsia" w:ascii="仿宋_GB2312" w:hAnsi="仿宋_GB2312" w:eastAsia="仿宋_GB2312" w:cs="仿宋_GB2312"/>
                <w:b/>
                <w:sz w:val="28"/>
                <w:szCs w:val="28"/>
              </w:rPr>
              <w:t>等级</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b/>
                <w:sz w:val="28"/>
                <w:szCs w:val="28"/>
              </w:rPr>
            </w:pPr>
            <w:r>
              <w:rPr>
                <w:rFonts w:hint="eastAsia" w:ascii="仿宋_GB2312" w:hAnsi="仿宋_GB2312" w:eastAsia="仿宋_GB2312" w:cs="仿宋_GB2312"/>
                <w:b/>
                <w:sz w:val="28"/>
                <w:szCs w:val="28"/>
              </w:rPr>
              <w:t>危险程度</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b/>
                <w:sz w:val="28"/>
                <w:szCs w:val="28"/>
              </w:rPr>
            </w:pPr>
            <w:r>
              <w:rPr>
                <w:rFonts w:hint="eastAsia" w:ascii="仿宋_GB2312" w:hAnsi="仿宋_GB2312" w:eastAsia="仿宋_GB2312" w:cs="仿宋_GB2312"/>
                <w:b/>
                <w:sz w:val="28"/>
                <w:szCs w:val="28"/>
              </w:rPr>
              <w:t>易燃程度</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b/>
                <w:sz w:val="28"/>
                <w:szCs w:val="28"/>
              </w:rPr>
            </w:pPr>
            <w:r>
              <w:rPr>
                <w:rFonts w:hint="eastAsia" w:ascii="仿宋_GB2312" w:hAnsi="仿宋_GB2312" w:eastAsia="仿宋_GB2312" w:cs="仿宋_GB2312"/>
                <w:b/>
                <w:sz w:val="28"/>
                <w:szCs w:val="28"/>
              </w:rPr>
              <w:t>蔓延程度</w:t>
            </w:r>
          </w:p>
        </w:tc>
        <w:tc>
          <w:tcPr>
            <w:tcW w:w="25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b/>
                <w:sz w:val="28"/>
                <w:szCs w:val="28"/>
              </w:rPr>
            </w:pPr>
            <w:r>
              <w:rPr>
                <w:rFonts w:hint="eastAsia" w:ascii="仿宋_GB2312" w:hAnsi="仿宋_GB2312" w:eastAsia="仿宋_GB2312" w:cs="仿宋_GB2312"/>
                <w:b/>
                <w:sz w:val="28"/>
                <w:szCs w:val="28"/>
              </w:rPr>
              <w:t>森林火险预警信号颜色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blCellSpacing w:w="0" w:type="dxa"/>
        </w:trPr>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一</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低度危险</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不易燃烧</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不易蔓延</w:t>
            </w:r>
          </w:p>
        </w:tc>
        <w:tc>
          <w:tcPr>
            <w:tcW w:w="25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blCellSpacing w:w="0" w:type="dxa"/>
        </w:trPr>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二</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中度危险</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可以燃烧</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可以蔓延</w:t>
            </w:r>
          </w:p>
        </w:tc>
        <w:tc>
          <w:tcPr>
            <w:tcW w:w="2568" w:type="dxa"/>
            <w:tcBorders>
              <w:top w:val="single" w:color="auto" w:sz="4" w:space="0"/>
              <w:left w:val="single" w:color="auto" w:sz="4" w:space="0"/>
              <w:bottom w:val="single" w:color="auto" w:sz="4" w:space="0"/>
              <w:right w:val="single" w:color="auto" w:sz="4" w:space="0"/>
            </w:tcBorders>
            <w:shd w:val="clear" w:color="auto" w:fill="0000FF"/>
            <w:vAlign w:val="center"/>
          </w:tcPr>
          <w:p>
            <w:pPr>
              <w:adjustRightInd w:val="0"/>
              <w:snapToGrid w:val="0"/>
              <w:spacing w:line="500" w:lineRule="exact"/>
              <w:ind w:firstLine="23"/>
              <w:jc w:val="center"/>
              <w:textAlignment w:val="top"/>
              <w:rPr>
                <w:rFonts w:ascii="仿宋_GB2312" w:hAnsi="仿宋_GB2312" w:eastAsia="仿宋_GB2312" w:cs="仿宋_GB2312"/>
                <w:color w:val="FFFFFF"/>
                <w:sz w:val="28"/>
                <w:szCs w:val="28"/>
              </w:rPr>
            </w:pPr>
            <w:r>
              <w:rPr>
                <w:rFonts w:hint="eastAsia" w:ascii="仿宋_GB2312" w:hAnsi="仿宋_GB2312" w:eastAsia="仿宋_GB2312" w:cs="仿宋_GB2312"/>
                <w:color w:val="FFFFFF"/>
                <w:sz w:val="28"/>
                <w:szCs w:val="28"/>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blCellSpacing w:w="0" w:type="dxa"/>
        </w:trPr>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三</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较高危险</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较易燃烧</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较易蔓延</w:t>
            </w:r>
          </w:p>
        </w:tc>
        <w:tc>
          <w:tcPr>
            <w:tcW w:w="2568" w:type="dxa"/>
            <w:tcBorders>
              <w:top w:val="single" w:color="auto" w:sz="4" w:space="0"/>
              <w:left w:val="single" w:color="auto" w:sz="4" w:space="0"/>
              <w:bottom w:val="single" w:color="auto" w:sz="4" w:space="0"/>
              <w:right w:val="single" w:color="auto" w:sz="4" w:space="0"/>
            </w:tcBorders>
            <w:shd w:val="clear" w:color="auto" w:fill="FFFF00"/>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blCellSpacing w:w="0" w:type="dxa"/>
        </w:trPr>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四</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高度危险</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容易燃烧</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容易蔓延</w:t>
            </w:r>
          </w:p>
        </w:tc>
        <w:tc>
          <w:tcPr>
            <w:tcW w:w="2568" w:type="dxa"/>
            <w:tcBorders>
              <w:top w:val="single" w:color="auto" w:sz="4" w:space="0"/>
              <w:left w:val="single" w:color="auto" w:sz="4" w:space="0"/>
              <w:bottom w:val="single" w:color="auto" w:sz="4" w:space="0"/>
              <w:right w:val="single" w:color="auto" w:sz="4" w:space="0"/>
            </w:tcBorders>
            <w:shd w:val="clear" w:color="auto" w:fill="FFC000"/>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blCellSpacing w:w="0" w:type="dxa"/>
        </w:trPr>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五</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极度危险</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极易燃烧</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极易蔓延</w:t>
            </w:r>
          </w:p>
        </w:tc>
        <w:tc>
          <w:tcPr>
            <w:tcW w:w="2568" w:type="dxa"/>
            <w:tcBorders>
              <w:top w:val="single" w:color="auto" w:sz="4" w:space="0"/>
              <w:left w:val="single" w:color="auto" w:sz="4" w:space="0"/>
              <w:bottom w:val="single" w:color="auto" w:sz="4" w:space="0"/>
              <w:right w:val="single" w:color="auto" w:sz="4" w:space="0"/>
            </w:tcBorders>
            <w:shd w:val="clear" w:color="auto" w:fill="FF0000"/>
            <w:vAlign w:val="center"/>
          </w:tcPr>
          <w:p>
            <w:pPr>
              <w:adjustRightInd w:val="0"/>
              <w:snapToGrid w:val="0"/>
              <w:spacing w:line="500" w:lineRule="exact"/>
              <w:ind w:firstLine="23"/>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红色</w:t>
            </w:r>
          </w:p>
        </w:tc>
      </w:tr>
    </w:tbl>
    <w:p>
      <w:pPr>
        <w:pStyle w:val="3"/>
        <w:widowControl/>
        <w:adjustRightInd w:val="0"/>
        <w:snapToGrid w:val="0"/>
        <w:spacing w:line="580" w:lineRule="exact"/>
        <w:textAlignment w:val="top"/>
        <w:rPr>
          <w:rFonts w:hint="default" w:hAnsi="仿宋_GB2312"/>
          <w:sz w:val="28"/>
          <w:szCs w:val="28"/>
        </w:rPr>
      </w:pPr>
      <w:r>
        <w:rPr>
          <w:rFonts w:hAnsi="仿宋_GB2312" w:cs="方正仿宋简体"/>
          <w:bCs/>
          <w:sz w:val="28"/>
          <w:szCs w:val="28"/>
        </w:rPr>
        <w:t>注：</w:t>
      </w:r>
      <w:r>
        <w:rPr>
          <w:rFonts w:hAnsi="仿宋_GB2312" w:cs="方正仿宋简体"/>
          <w:sz w:val="28"/>
          <w:szCs w:val="28"/>
        </w:rPr>
        <w:t>一级森林火险仅发布森林火险等级预报，不发布预警信号。</w:t>
      </w:r>
    </w:p>
    <w:p>
      <w:pPr>
        <w:adjustRightInd w:val="0"/>
        <w:spacing w:line="596" w:lineRule="exact"/>
        <w:ind w:firstLine="640" w:firstLineChars="200"/>
        <w:textAlignment w:val="top"/>
        <w:rPr>
          <w:rFonts w:ascii="黑体" w:hAnsi="宋体" w:eastAsia="黑体" w:cs="黑体"/>
          <w:szCs w:val="32"/>
        </w:rPr>
      </w:pPr>
      <w:r>
        <w:rPr>
          <w:rFonts w:hint="eastAsia" w:ascii="黑体" w:hAnsi="宋体" w:eastAsia="黑体" w:cs="黑体"/>
          <w:sz w:val="32"/>
          <w:szCs w:val="32"/>
        </w:rPr>
        <w:t>四、标识</w:t>
      </w:r>
    </w:p>
    <w:p>
      <w:pPr>
        <w:adjustRightInd w:val="0"/>
        <w:spacing w:line="596" w:lineRule="exact"/>
        <w:ind w:firstLine="640" w:firstLineChars="200"/>
        <w:textAlignment w:val="top"/>
        <w:rPr>
          <w:rFonts w:ascii="仿宋_GB2312" w:hAnsi="仿宋_GB2312" w:eastAsia="仿宋_GB2312" w:cs="仿宋_GB2312"/>
          <w:szCs w:val="32"/>
        </w:rPr>
      </w:pPr>
      <w:r>
        <w:rPr>
          <w:rFonts w:hint="eastAsia" w:ascii="仿宋_GB2312" w:hAnsi="仿宋_GB2312" w:eastAsia="仿宋_GB2312" w:cs="仿宋_GB2312"/>
          <w:sz w:val="32"/>
          <w:szCs w:val="32"/>
        </w:rPr>
        <w:t>（一）由森林防火标志、“森林火险”字样和表示危险程度的文字注记组成，用蓝、黄、橙和红四种底色衬托，分别作为不同等级的预警信号标识。</w:t>
      </w:r>
    </w:p>
    <w:p>
      <w:pPr>
        <w:adjustRightInd w:val="0"/>
        <w:spacing w:line="596" w:lineRule="exact"/>
        <w:ind w:firstLine="640" w:firstLineChars="200"/>
        <w:textAlignment w:val="top"/>
        <w:rPr>
          <w:rFonts w:ascii="仿宋_GB2312" w:hAnsi="仿宋_GB2312" w:eastAsia="仿宋_GB2312" w:cs="仿宋_GB2312"/>
          <w:szCs w:val="32"/>
        </w:rPr>
      </w:pPr>
      <w:r>
        <w:rPr>
          <w:rFonts w:hint="eastAsia" w:ascii="仿宋_GB2312" w:hAnsi="仿宋_GB2312" w:eastAsia="仿宋_GB2312" w:cs="仿宋_GB2312"/>
          <w:sz w:val="32"/>
          <w:szCs w:val="32"/>
        </w:rPr>
        <w:t>（二）森林火险蓝色预警信号表示：未来一天至数天预警区域森林火险等级为二级，林内可燃物可以点燃，可以蔓延，具有中度危险。预警信号标识的底色和文字注记采用蓝色，表示危险程度的文字为：中度危险。</w:t>
      </w:r>
    </w:p>
    <w:p>
      <w:pPr>
        <w:adjustRightInd w:val="0"/>
        <w:spacing w:line="596" w:lineRule="exact"/>
        <w:textAlignment w:val="top"/>
        <w:rPr>
          <w:rFonts w:ascii="仿宋_GB2312" w:hAnsi="仿宋_GB2312" w:eastAsia="仿宋_GB2312" w:cs="仿宋_GB2312"/>
          <w:sz w:val="31"/>
          <w:szCs w:val="31"/>
        </w:rPr>
      </w:pPr>
      <w:r>
        <w:rPr>
          <w:rFonts w:ascii="Calibri" w:hAnsi="Calibri" w:eastAsia="宋体" w:cs="Times New Roman"/>
        </w:rPr>
        <w:drawing>
          <wp:anchor distT="0" distB="0" distL="114300" distR="114300" simplePos="0" relativeHeight="251659264" behindDoc="0" locked="0" layoutInCell="1" allowOverlap="1">
            <wp:simplePos x="0" y="0"/>
            <wp:positionH relativeFrom="column">
              <wp:posOffset>1354455</wp:posOffset>
            </wp:positionH>
            <wp:positionV relativeFrom="paragraph">
              <wp:posOffset>99060</wp:posOffset>
            </wp:positionV>
            <wp:extent cx="2969260" cy="1597025"/>
            <wp:effectExtent l="0" t="0" r="2540" b="3175"/>
            <wp:wrapNone/>
            <wp:docPr id="9" name="图片 22" descr="蓝色预警信号（低度危险、二级）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descr="蓝色预警信号（低度危险、二级）2"/>
                    <pic:cNvPicPr>
                      <a:picLocks noChangeAspect="1"/>
                    </pic:cNvPicPr>
                  </pic:nvPicPr>
                  <pic:blipFill>
                    <a:blip r:embed="rId6"/>
                    <a:stretch>
                      <a:fillRect/>
                    </a:stretch>
                  </pic:blipFill>
                  <pic:spPr>
                    <a:xfrm>
                      <a:off x="0" y="0"/>
                      <a:ext cx="2969260" cy="1597025"/>
                    </a:xfrm>
                    <a:prstGeom prst="rect">
                      <a:avLst/>
                    </a:prstGeom>
                    <a:noFill/>
                    <a:ln>
                      <a:noFill/>
                    </a:ln>
                  </pic:spPr>
                </pic:pic>
              </a:graphicData>
            </a:graphic>
          </wp:anchor>
        </w:drawing>
      </w:r>
    </w:p>
    <w:p>
      <w:pPr>
        <w:adjustRightInd w:val="0"/>
        <w:spacing w:line="596" w:lineRule="exact"/>
        <w:textAlignment w:val="top"/>
        <w:rPr>
          <w:rFonts w:ascii="仿宋_GB2312" w:hAnsi="仿宋_GB2312" w:eastAsia="仿宋_GB2312" w:cs="仿宋_GB2312"/>
          <w:sz w:val="31"/>
          <w:szCs w:val="31"/>
        </w:rPr>
      </w:pPr>
    </w:p>
    <w:p>
      <w:pPr>
        <w:adjustRightInd w:val="0"/>
        <w:spacing w:line="596" w:lineRule="exact"/>
        <w:textAlignment w:val="top"/>
        <w:rPr>
          <w:rFonts w:ascii="仿宋_GB2312" w:hAnsi="仿宋_GB2312" w:eastAsia="仿宋_GB2312" w:cs="仿宋_GB2312"/>
          <w:sz w:val="31"/>
          <w:szCs w:val="31"/>
        </w:rPr>
      </w:pPr>
    </w:p>
    <w:p>
      <w:pPr>
        <w:adjustRightInd w:val="0"/>
        <w:spacing w:line="596" w:lineRule="exact"/>
        <w:textAlignment w:val="top"/>
        <w:rPr>
          <w:rFonts w:ascii="仿宋_GB2312" w:hAnsi="仿宋_GB2312" w:eastAsia="仿宋_GB2312" w:cs="仿宋_GB2312"/>
          <w:sz w:val="31"/>
          <w:szCs w:val="31"/>
        </w:rPr>
      </w:pPr>
    </w:p>
    <w:p>
      <w:pPr>
        <w:adjustRightInd w:val="0"/>
        <w:spacing w:line="596" w:lineRule="exact"/>
        <w:textAlignment w:val="top"/>
        <w:rPr>
          <w:rFonts w:ascii="仿宋_GB2312" w:hAnsi="仿宋_GB2312" w:eastAsia="仿宋_GB2312" w:cs="仿宋_GB2312"/>
          <w:sz w:val="31"/>
          <w:szCs w:val="31"/>
        </w:rPr>
      </w:pPr>
    </w:p>
    <w:p>
      <w:pPr>
        <w:adjustRightInd w:val="0"/>
        <w:spacing w:line="596" w:lineRule="exact"/>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图1　森林火险蓝色预警信号标识</w:t>
      </w:r>
    </w:p>
    <w:p>
      <w:pPr>
        <w:adjustRightInd w:val="0"/>
        <w:spacing w:line="596" w:lineRule="exact"/>
        <w:ind w:firstLine="640" w:firstLineChars="200"/>
        <w:textAlignment w:val="top"/>
        <w:rPr>
          <w:rFonts w:ascii="仿宋_GB2312" w:hAnsi="仿宋_GB2312" w:eastAsia="仿宋_GB2312" w:cs="仿宋_GB2312"/>
          <w:szCs w:val="32"/>
        </w:rPr>
      </w:pPr>
      <w:r>
        <w:rPr>
          <w:rFonts w:hint="eastAsia" w:ascii="仿宋_GB2312" w:hAnsi="仿宋_GB2312" w:eastAsia="仿宋_GB2312" w:cs="仿宋_GB2312"/>
          <w:sz w:val="32"/>
          <w:szCs w:val="32"/>
        </w:rPr>
        <w:t>（三）森林火险黄色预警信号表示：未来一天至数天预警区域森林火险等级为三级，林内可燃物较易点燃，较易蔓延，具有较高危险。预警信号标识的底色和文字采用黄色，表示危险程度的文字为：较高危险。</w:t>
      </w:r>
    </w:p>
    <w:p>
      <w:pPr>
        <w:adjustRightInd w:val="0"/>
        <w:spacing w:line="596" w:lineRule="exact"/>
        <w:textAlignment w:val="top"/>
        <w:rPr>
          <w:rFonts w:ascii="仿宋_GB2312" w:hAnsi="仿宋_GB2312" w:eastAsia="仿宋_GB2312" w:cs="仿宋_GB2312"/>
          <w:sz w:val="31"/>
          <w:szCs w:val="31"/>
        </w:rPr>
      </w:pPr>
      <w:r>
        <w:rPr>
          <w:rFonts w:ascii="Calibri" w:hAnsi="Calibri" w:eastAsia="宋体" w:cs="Times New Roman"/>
        </w:rPr>
        <w:drawing>
          <wp:anchor distT="0" distB="0" distL="114300" distR="114300" simplePos="0" relativeHeight="251660288" behindDoc="0" locked="0" layoutInCell="1" allowOverlap="1">
            <wp:simplePos x="0" y="0"/>
            <wp:positionH relativeFrom="column">
              <wp:posOffset>1149985</wp:posOffset>
            </wp:positionH>
            <wp:positionV relativeFrom="paragraph">
              <wp:posOffset>123190</wp:posOffset>
            </wp:positionV>
            <wp:extent cx="3033395" cy="1631950"/>
            <wp:effectExtent l="0" t="0" r="14605" b="13970"/>
            <wp:wrapNone/>
            <wp:docPr id="8" name="图片 3" descr="黄色预警信号（中度危险、三级）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黄色预警信号（中度危险、三级）2"/>
                    <pic:cNvPicPr>
                      <a:picLocks noChangeAspect="1"/>
                    </pic:cNvPicPr>
                  </pic:nvPicPr>
                  <pic:blipFill>
                    <a:blip r:embed="rId7"/>
                    <a:stretch>
                      <a:fillRect/>
                    </a:stretch>
                  </pic:blipFill>
                  <pic:spPr>
                    <a:xfrm>
                      <a:off x="0" y="0"/>
                      <a:ext cx="3033395" cy="1631950"/>
                    </a:xfrm>
                    <a:prstGeom prst="rect">
                      <a:avLst/>
                    </a:prstGeom>
                    <a:noFill/>
                    <a:ln>
                      <a:noFill/>
                    </a:ln>
                  </pic:spPr>
                </pic:pic>
              </a:graphicData>
            </a:graphic>
          </wp:anchor>
        </w:drawing>
      </w:r>
    </w:p>
    <w:p>
      <w:pPr>
        <w:adjustRightInd w:val="0"/>
        <w:spacing w:line="596" w:lineRule="exact"/>
        <w:textAlignment w:val="top"/>
        <w:rPr>
          <w:rFonts w:ascii="仿宋_GB2312" w:hAnsi="仿宋_GB2312" w:eastAsia="仿宋_GB2312" w:cs="仿宋_GB2312"/>
          <w:sz w:val="31"/>
          <w:szCs w:val="31"/>
        </w:rPr>
      </w:pPr>
    </w:p>
    <w:p>
      <w:pPr>
        <w:adjustRightInd w:val="0"/>
        <w:spacing w:line="596" w:lineRule="exact"/>
        <w:textAlignment w:val="top"/>
        <w:rPr>
          <w:rFonts w:ascii="仿宋_GB2312" w:hAnsi="仿宋_GB2312" w:eastAsia="仿宋_GB2312" w:cs="仿宋_GB2312"/>
          <w:sz w:val="31"/>
          <w:szCs w:val="31"/>
        </w:rPr>
      </w:pPr>
    </w:p>
    <w:p>
      <w:pPr>
        <w:adjustRightInd w:val="0"/>
        <w:spacing w:line="596" w:lineRule="exact"/>
        <w:textAlignment w:val="top"/>
        <w:rPr>
          <w:rFonts w:ascii="仿宋_GB2312" w:hAnsi="仿宋_GB2312" w:eastAsia="仿宋_GB2312" w:cs="仿宋_GB2312"/>
          <w:sz w:val="31"/>
          <w:szCs w:val="31"/>
        </w:rPr>
      </w:pPr>
    </w:p>
    <w:p>
      <w:pPr>
        <w:adjustRightInd w:val="0"/>
        <w:spacing w:line="596" w:lineRule="exact"/>
        <w:textAlignment w:val="top"/>
        <w:rPr>
          <w:rFonts w:ascii="仿宋_GB2312" w:hAnsi="仿宋_GB2312" w:eastAsia="仿宋_GB2312" w:cs="仿宋_GB2312"/>
          <w:sz w:val="31"/>
          <w:szCs w:val="31"/>
        </w:rPr>
      </w:pPr>
    </w:p>
    <w:p>
      <w:pPr>
        <w:adjustRightInd w:val="0"/>
        <w:spacing w:line="596" w:lineRule="exact"/>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图2　森林火险黄色预警信号标识</w:t>
      </w:r>
    </w:p>
    <w:p>
      <w:pPr>
        <w:adjustRightInd w:val="0"/>
        <w:spacing w:line="596" w:lineRule="exact"/>
        <w:ind w:firstLine="640" w:firstLineChars="200"/>
        <w:textAlignment w:val="top"/>
        <w:rPr>
          <w:rFonts w:ascii="仿宋_GB2312" w:hAnsi="仿宋_GB2312" w:eastAsia="仿宋_GB2312" w:cs="仿宋_GB2312"/>
          <w:szCs w:val="32"/>
        </w:rPr>
      </w:pPr>
      <w:r>
        <w:rPr>
          <w:rFonts w:hint="eastAsia" w:ascii="仿宋_GB2312" w:hAnsi="仿宋_GB2312" w:eastAsia="仿宋_GB2312" w:cs="仿宋_GB2312"/>
          <w:sz w:val="32"/>
          <w:szCs w:val="32"/>
        </w:rPr>
        <w:t>（四）森林火险橙色预警信号表示：未来一天至数天预警区域森林火险等级为四级，林内可燃物容易点燃，易形成强烈火势快速蔓延，高度危险。预警信号标识的底色和文字采用橙色，表示危险程度的文字为：高度危险。</w:t>
      </w:r>
    </w:p>
    <w:p>
      <w:pPr>
        <w:adjustRightInd w:val="0"/>
        <w:spacing w:line="596" w:lineRule="exact"/>
        <w:textAlignment w:val="top"/>
        <w:rPr>
          <w:rFonts w:ascii="仿宋_GB2312" w:hAnsi="仿宋_GB2312" w:eastAsia="仿宋_GB2312" w:cs="仿宋_GB2312"/>
          <w:sz w:val="31"/>
          <w:szCs w:val="31"/>
        </w:rPr>
      </w:pPr>
      <w:r>
        <w:rPr>
          <w:rFonts w:ascii="Calibri" w:hAnsi="Calibri" w:eastAsia="宋体" w:cs="Times New Roman"/>
        </w:rPr>
        <w:drawing>
          <wp:anchor distT="0" distB="0" distL="114300" distR="114300" simplePos="0" relativeHeight="251661312" behindDoc="0" locked="0" layoutInCell="1" allowOverlap="1">
            <wp:simplePos x="0" y="0"/>
            <wp:positionH relativeFrom="column">
              <wp:posOffset>1384935</wp:posOffset>
            </wp:positionH>
            <wp:positionV relativeFrom="paragraph">
              <wp:posOffset>216535</wp:posOffset>
            </wp:positionV>
            <wp:extent cx="2969260" cy="1597025"/>
            <wp:effectExtent l="0" t="0" r="2540" b="3175"/>
            <wp:wrapNone/>
            <wp:docPr id="7" name="图片 24" descr="橙色预警信号（高度危险、四级）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descr="橙色预警信号（高度危险、四级）2"/>
                    <pic:cNvPicPr>
                      <a:picLocks noChangeAspect="1"/>
                    </pic:cNvPicPr>
                  </pic:nvPicPr>
                  <pic:blipFill>
                    <a:blip r:embed="rId8"/>
                    <a:stretch>
                      <a:fillRect/>
                    </a:stretch>
                  </pic:blipFill>
                  <pic:spPr>
                    <a:xfrm>
                      <a:off x="0" y="0"/>
                      <a:ext cx="2969260" cy="1597025"/>
                    </a:xfrm>
                    <a:prstGeom prst="rect">
                      <a:avLst/>
                    </a:prstGeom>
                    <a:noFill/>
                    <a:ln>
                      <a:noFill/>
                    </a:ln>
                  </pic:spPr>
                </pic:pic>
              </a:graphicData>
            </a:graphic>
          </wp:anchor>
        </w:drawing>
      </w:r>
    </w:p>
    <w:p>
      <w:pPr>
        <w:adjustRightInd w:val="0"/>
        <w:spacing w:line="596" w:lineRule="exact"/>
        <w:textAlignment w:val="top"/>
        <w:rPr>
          <w:rFonts w:ascii="仿宋_GB2312" w:hAnsi="仿宋_GB2312" w:eastAsia="仿宋_GB2312" w:cs="仿宋_GB2312"/>
          <w:sz w:val="31"/>
          <w:szCs w:val="31"/>
        </w:rPr>
      </w:pPr>
    </w:p>
    <w:p>
      <w:pPr>
        <w:adjustRightInd w:val="0"/>
        <w:spacing w:line="596" w:lineRule="exact"/>
        <w:textAlignment w:val="top"/>
        <w:rPr>
          <w:rFonts w:ascii="仿宋_GB2312" w:hAnsi="仿宋_GB2312" w:eastAsia="仿宋_GB2312" w:cs="仿宋_GB2312"/>
          <w:sz w:val="31"/>
          <w:szCs w:val="31"/>
        </w:rPr>
      </w:pPr>
    </w:p>
    <w:p>
      <w:pPr>
        <w:adjustRightInd w:val="0"/>
        <w:spacing w:line="596" w:lineRule="exact"/>
        <w:textAlignment w:val="top"/>
        <w:rPr>
          <w:rFonts w:ascii="仿宋_GB2312" w:hAnsi="仿宋_GB2312" w:eastAsia="仿宋_GB2312" w:cs="仿宋_GB2312"/>
          <w:sz w:val="31"/>
          <w:szCs w:val="31"/>
        </w:rPr>
      </w:pPr>
    </w:p>
    <w:p>
      <w:pPr>
        <w:adjustRightInd w:val="0"/>
        <w:spacing w:line="596" w:lineRule="exact"/>
        <w:textAlignment w:val="top"/>
        <w:rPr>
          <w:rFonts w:ascii="仿宋_GB2312" w:hAnsi="仿宋_GB2312" w:eastAsia="仿宋_GB2312" w:cs="仿宋_GB2312"/>
          <w:sz w:val="31"/>
          <w:szCs w:val="31"/>
        </w:rPr>
      </w:pPr>
    </w:p>
    <w:p>
      <w:pPr>
        <w:adjustRightInd w:val="0"/>
        <w:spacing w:line="596" w:lineRule="exact"/>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图3　森林火险橙色预警信号标识</w:t>
      </w:r>
    </w:p>
    <w:p>
      <w:pPr>
        <w:adjustRightInd w:val="0"/>
        <w:spacing w:line="596" w:lineRule="exact"/>
        <w:ind w:firstLine="640" w:firstLineChars="200"/>
        <w:textAlignment w:val="top"/>
        <w:rPr>
          <w:rFonts w:ascii="仿宋_GB2312" w:hAnsi="仿宋_GB2312" w:eastAsia="仿宋_GB2312" w:cs="仿宋_GB2312"/>
          <w:szCs w:val="32"/>
        </w:rPr>
      </w:pPr>
      <w:r>
        <w:rPr>
          <w:rFonts w:hint="eastAsia" w:ascii="仿宋_GB2312" w:hAnsi="仿宋_GB2312" w:eastAsia="仿宋_GB2312" w:cs="仿宋_GB2312"/>
          <w:sz w:val="32"/>
          <w:szCs w:val="32"/>
        </w:rPr>
        <w:t>（五）森林火险红色预警信号表示：未来一天至数天预警区域森林火险等级为五级，林内可燃物极易点燃，极易迅猛蔓延，扑火难度极大，极度危险。预警信号标识的底色和文字采用红色，表示危险程度的文字为：极度危险。</w:t>
      </w:r>
    </w:p>
    <w:p>
      <w:pPr>
        <w:pStyle w:val="2"/>
        <w:widowControl/>
        <w:adjustRightInd w:val="0"/>
        <w:spacing w:line="596" w:lineRule="exact"/>
        <w:textAlignment w:val="top"/>
        <w:rPr>
          <w:rFonts w:hint="default" w:ascii="仿宋_GB2312" w:hAnsi="仿宋_GB2312" w:eastAsia="仿宋_GB2312" w:cs="仿宋_GB2312"/>
          <w:sz w:val="31"/>
          <w:szCs w:val="31"/>
        </w:rPr>
      </w:pPr>
      <w:r>
        <w:drawing>
          <wp:anchor distT="0" distB="0" distL="114300" distR="114300" simplePos="0" relativeHeight="251662336" behindDoc="0" locked="0" layoutInCell="1" allowOverlap="1">
            <wp:simplePos x="0" y="0"/>
            <wp:positionH relativeFrom="column">
              <wp:posOffset>1330960</wp:posOffset>
            </wp:positionH>
            <wp:positionV relativeFrom="paragraph">
              <wp:posOffset>249555</wp:posOffset>
            </wp:positionV>
            <wp:extent cx="2969260" cy="1597025"/>
            <wp:effectExtent l="0" t="0" r="2540" b="3175"/>
            <wp:wrapNone/>
            <wp:docPr id="10" name="图片 5" descr="红色预警信号（极度危险、五级）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红色预警信号（极度危险、五级）2"/>
                    <pic:cNvPicPr>
                      <a:picLocks noChangeAspect="1"/>
                    </pic:cNvPicPr>
                  </pic:nvPicPr>
                  <pic:blipFill>
                    <a:blip r:embed="rId9"/>
                    <a:stretch>
                      <a:fillRect/>
                    </a:stretch>
                  </pic:blipFill>
                  <pic:spPr>
                    <a:xfrm>
                      <a:off x="0" y="0"/>
                      <a:ext cx="2969260" cy="1597025"/>
                    </a:xfrm>
                    <a:prstGeom prst="rect">
                      <a:avLst/>
                    </a:prstGeom>
                    <a:noFill/>
                    <a:ln>
                      <a:noFill/>
                    </a:ln>
                  </pic:spPr>
                </pic:pic>
              </a:graphicData>
            </a:graphic>
          </wp:anchor>
        </w:drawing>
      </w:r>
    </w:p>
    <w:p>
      <w:pPr>
        <w:adjustRightInd w:val="0"/>
        <w:spacing w:line="596" w:lineRule="exact"/>
        <w:textAlignment w:val="top"/>
        <w:rPr>
          <w:rFonts w:ascii="仿宋_GB2312" w:hAnsi="仿宋_GB2312" w:eastAsia="仿宋_GB2312" w:cs="仿宋_GB2312"/>
          <w:sz w:val="31"/>
          <w:szCs w:val="31"/>
        </w:rPr>
      </w:pPr>
    </w:p>
    <w:p>
      <w:pPr>
        <w:adjustRightInd w:val="0"/>
        <w:spacing w:line="596" w:lineRule="exact"/>
        <w:textAlignment w:val="top"/>
        <w:rPr>
          <w:rFonts w:ascii="仿宋_GB2312" w:hAnsi="仿宋_GB2312" w:eastAsia="仿宋_GB2312" w:cs="仿宋_GB2312"/>
          <w:sz w:val="31"/>
          <w:szCs w:val="31"/>
        </w:rPr>
      </w:pPr>
    </w:p>
    <w:p>
      <w:pPr>
        <w:adjustRightInd w:val="0"/>
        <w:spacing w:line="596" w:lineRule="exact"/>
        <w:textAlignment w:val="top"/>
        <w:rPr>
          <w:rFonts w:ascii="仿宋_GB2312" w:hAnsi="仿宋_GB2312" w:eastAsia="仿宋_GB2312" w:cs="仿宋_GB2312"/>
          <w:sz w:val="31"/>
          <w:szCs w:val="31"/>
        </w:rPr>
      </w:pPr>
    </w:p>
    <w:p>
      <w:pPr>
        <w:adjustRightInd w:val="0"/>
        <w:spacing w:line="596" w:lineRule="exact"/>
        <w:textAlignment w:val="top"/>
        <w:rPr>
          <w:rFonts w:ascii="仿宋_GB2312" w:hAnsi="仿宋_GB2312" w:eastAsia="仿宋_GB2312" w:cs="仿宋_GB2312"/>
          <w:sz w:val="31"/>
          <w:szCs w:val="31"/>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图4　森林火险红色预警信号标识</w:t>
      </w:r>
      <w:r>
        <w:rPr>
          <w:rFonts w:hint="eastAsia" w:ascii="仿宋_GB2312" w:hAnsi="仿宋_GB2312" w:eastAsia="仿宋_GB2312" w:cs="仿宋_GB2312"/>
          <w:sz w:val="28"/>
          <w:szCs w:val="28"/>
        </w:rPr>
        <w:br w:type="textWrapping"/>
      </w: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pStyle w:val="14"/>
        <w:widowControl/>
        <w:rPr>
          <w:rFonts w:hint="default" w:ascii="Times New Roman" w:cs="仿宋_GB2312"/>
          <w:szCs w:val="32"/>
        </w:rPr>
      </w:pPr>
    </w:p>
    <w:p>
      <w:pPr>
        <w:pStyle w:val="14"/>
        <w:widowControl/>
        <w:rPr>
          <w:rFonts w:hint="default" w:ascii="Times New Roman" w:cs="仿宋_GB2312"/>
          <w:szCs w:val="32"/>
        </w:rPr>
      </w:pPr>
    </w:p>
    <w:p>
      <w:pPr>
        <w:rPr>
          <w:rFonts w:ascii="Times New Roman" w:hAnsi="Times New Roman" w:eastAsia="仿宋_GB2312" w:cs="仿宋_GB2312"/>
          <w:color w:val="000000"/>
          <w:sz w:val="24"/>
          <w:szCs w:val="32"/>
        </w:rPr>
        <w:sectPr>
          <w:headerReference r:id="rId3" w:type="default"/>
          <w:footerReference r:id="rId4" w:type="default"/>
          <w:pgSz w:w="11915" w:h="16839"/>
          <w:pgMar w:top="1440" w:right="1803" w:bottom="1440" w:left="1803" w:header="851" w:footer="992" w:gutter="0"/>
          <w:pgNumType w:fmt="numberInDash" w:start="33"/>
          <w:cols w:space="425" w:num="1"/>
          <w:docGrid w:type="lines" w:linePitch="312" w:charSpace="-849"/>
        </w:sectPr>
      </w:pPr>
    </w:p>
    <w:p>
      <w:pPr>
        <w:pStyle w:val="14"/>
        <w:widowControl/>
        <w:rPr>
          <w:rFonts w:hint="default" w:ascii="Times New Roman" w:cs="仿宋_GB2312"/>
          <w:szCs w:val="32"/>
        </w:rPr>
      </w:pPr>
      <w:r>
        <w:rPr>
          <w:rFonts w:hint="default"/>
        </w:rPr>
        <w:pict>
          <v:shape id="对象 164" o:spid="_x0000_s1036" o:spt="75" type="#_x0000_t75" style="position:absolute;left:0pt;margin-left:-104.65pt;margin-top:-472.65pt;height:981.65pt;width:849pt;z-index:251663360;mso-width-relative:page;mso-height-relative:page;" o:ole="t" filled="f" o:preferrelative="t" stroked="f" coordsize="21600,21600">
            <v:path/>
            <v:fill on="f" focussize="0,0"/>
            <v:stroke on="f" joinstyle="miter"/>
            <v:imagedata r:id="rId11" o:title=""/>
            <o:lock v:ext="edit" aspectratio="t"/>
          </v:shape>
          <o:OLEObject Type="Embed" ProgID="Word.Document.8" ShapeID="对象 164" DrawAspect="Content" ObjectID="_1468075725" r:id="rId10">
            <o:LockedField>false</o:LockedField>
          </o:OLEObject>
        </w:pict>
      </w:r>
    </w:p>
    <w:p>
      <w:pPr>
        <w:rPr>
          <w:szCs w:val="32"/>
        </w:rPr>
      </w:pPr>
    </w:p>
    <w:p/>
    <w:p/>
    <w:p/>
    <w:sectPr>
      <w:pgSz w:w="16838" w:h="11906" w:orient="landscape"/>
      <w:pgMar w:top="1474" w:right="1814" w:bottom="1588" w:left="1928" w:header="851" w:footer="1542" w:gutter="0"/>
      <w:pgNumType w:fmt="numberInDash"/>
      <w:cols w:space="425" w:num="1"/>
      <w:docGrid w:type="lines" w:linePitch="31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宋体"/>
    <w:panose1 w:val="00000000000000000000"/>
    <w:charset w:val="86"/>
    <w:family w:val="script"/>
    <w:pitch w:val="default"/>
    <w:sig w:usb0="00000000" w:usb1="00000000" w:usb2="00000010" w:usb3="00000000" w:csb0="00040000" w:csb1="00000000"/>
  </w:font>
  <w:font w:name="方正仿宋简体">
    <w:altName w:val="Arial Unicode MS"/>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8ODr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w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R8ODrDAgAA2AUAAA4AAAAA&#10;AAAAAQAgAAAAHwEAAGRycy9lMm9Eb2MueG1sUEsFBgAAAAAGAAYAWQEAAFQG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- 37 -</w:t>
                </w:r>
                <w:r>
                  <w:rPr>
                    <w:rFonts w:hint="eastAsia"/>
                  </w:rPr>
                  <w:fldChar w:fldCharType="end"/>
                </w:r>
              </w:p>
            </w:txbxContent>
          </v:textbox>
        </v:shape>
      </w:pict>
    </w:r>
  </w:p>
  <w:bookmarkEnd w:id="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7Cx/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s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CS8KcvEiXNCW92KlZfsWBtfU&#10;xQAVERQiZdj24sx2MwoGH2XTqTdaK92s6u4CDA9F7FwsFHVhfAup6drCe/DP5MgKUOk2MD48qftR&#10;5+bTw723Og7ky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fzsLH8ICAADYBQAADgAAAAAA&#10;AAABACAAAAAfAQAAZHJzL2Uyb0RvYy54bWxQSwUGAAAAAAYABgBZAQAAUwYAAAAA&#10;">
          <v:path/>
          <v:fill on="f" focussize="0,0"/>
          <v:stroke on="f" weight="0.5pt" joinstyle="miter"/>
          <v:imagedata o:title=""/>
          <o:lock v:ext="edit"/>
          <v:textbox inset="0mm,0mm,0mm,0mm" style="mso-fit-shape-to-text:t;">
            <w:txbxContent>
              <w:p/>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3038518D"/>
    <w:rsid w:val="002A4BFF"/>
    <w:rsid w:val="00440D59"/>
    <w:rsid w:val="00635918"/>
    <w:rsid w:val="008D0BD9"/>
    <w:rsid w:val="008E2C08"/>
    <w:rsid w:val="00E72F73"/>
    <w:rsid w:val="01570440"/>
    <w:rsid w:val="01F61496"/>
    <w:rsid w:val="03211533"/>
    <w:rsid w:val="0344153D"/>
    <w:rsid w:val="06DF0183"/>
    <w:rsid w:val="08D543CB"/>
    <w:rsid w:val="09030851"/>
    <w:rsid w:val="094627AE"/>
    <w:rsid w:val="0B3F18E5"/>
    <w:rsid w:val="0BCD57E1"/>
    <w:rsid w:val="0E7D30BE"/>
    <w:rsid w:val="0ECF4BC4"/>
    <w:rsid w:val="10314428"/>
    <w:rsid w:val="10333378"/>
    <w:rsid w:val="11D62C3A"/>
    <w:rsid w:val="11DE46D0"/>
    <w:rsid w:val="1227243F"/>
    <w:rsid w:val="137A6389"/>
    <w:rsid w:val="138E0EF5"/>
    <w:rsid w:val="161C3651"/>
    <w:rsid w:val="173C1179"/>
    <w:rsid w:val="186B5C7D"/>
    <w:rsid w:val="198F7B95"/>
    <w:rsid w:val="1A98145F"/>
    <w:rsid w:val="1ADC6F10"/>
    <w:rsid w:val="1CDF596F"/>
    <w:rsid w:val="1E5A5295"/>
    <w:rsid w:val="1EF13992"/>
    <w:rsid w:val="208B44CC"/>
    <w:rsid w:val="20B417B0"/>
    <w:rsid w:val="21F950D5"/>
    <w:rsid w:val="2210588F"/>
    <w:rsid w:val="23447739"/>
    <w:rsid w:val="2453533A"/>
    <w:rsid w:val="2593265F"/>
    <w:rsid w:val="2763485B"/>
    <w:rsid w:val="280A27C1"/>
    <w:rsid w:val="280E5DB8"/>
    <w:rsid w:val="28A83711"/>
    <w:rsid w:val="2D686029"/>
    <w:rsid w:val="2D7B21BA"/>
    <w:rsid w:val="2DCF34BE"/>
    <w:rsid w:val="2DF02E85"/>
    <w:rsid w:val="2DF57C5C"/>
    <w:rsid w:val="2E461B44"/>
    <w:rsid w:val="2F4A14FE"/>
    <w:rsid w:val="3038518D"/>
    <w:rsid w:val="306E23B5"/>
    <w:rsid w:val="31C70C3A"/>
    <w:rsid w:val="32087BA4"/>
    <w:rsid w:val="324B07E5"/>
    <w:rsid w:val="32B94627"/>
    <w:rsid w:val="347C050E"/>
    <w:rsid w:val="347C297E"/>
    <w:rsid w:val="353806A1"/>
    <w:rsid w:val="356305F6"/>
    <w:rsid w:val="379C54AC"/>
    <w:rsid w:val="37DB5C77"/>
    <w:rsid w:val="382A095F"/>
    <w:rsid w:val="38A852B2"/>
    <w:rsid w:val="39271E78"/>
    <w:rsid w:val="39395A8F"/>
    <w:rsid w:val="39730A43"/>
    <w:rsid w:val="39CA1D3F"/>
    <w:rsid w:val="3AD268C5"/>
    <w:rsid w:val="3B295718"/>
    <w:rsid w:val="3B2F539B"/>
    <w:rsid w:val="3D4963BD"/>
    <w:rsid w:val="3EEF2C4A"/>
    <w:rsid w:val="3F426240"/>
    <w:rsid w:val="40F07417"/>
    <w:rsid w:val="4147444E"/>
    <w:rsid w:val="426E64A3"/>
    <w:rsid w:val="42B9227E"/>
    <w:rsid w:val="44975CE1"/>
    <w:rsid w:val="44B420A9"/>
    <w:rsid w:val="4525184A"/>
    <w:rsid w:val="45DD084E"/>
    <w:rsid w:val="46BF0F14"/>
    <w:rsid w:val="482A2F2B"/>
    <w:rsid w:val="483F1C63"/>
    <w:rsid w:val="499D35E5"/>
    <w:rsid w:val="4B5A1167"/>
    <w:rsid w:val="4B80764D"/>
    <w:rsid w:val="4C39057D"/>
    <w:rsid w:val="4C4B0BFF"/>
    <w:rsid w:val="4CD50ABC"/>
    <w:rsid w:val="50B61FCB"/>
    <w:rsid w:val="528905BE"/>
    <w:rsid w:val="53DE759B"/>
    <w:rsid w:val="5609302F"/>
    <w:rsid w:val="56C20059"/>
    <w:rsid w:val="57BE5C7E"/>
    <w:rsid w:val="583373DA"/>
    <w:rsid w:val="584445AD"/>
    <w:rsid w:val="58556DF3"/>
    <w:rsid w:val="59832103"/>
    <w:rsid w:val="59CE06F9"/>
    <w:rsid w:val="5A836302"/>
    <w:rsid w:val="5BAC75B1"/>
    <w:rsid w:val="5BDC20F0"/>
    <w:rsid w:val="5CF57608"/>
    <w:rsid w:val="5F863BE9"/>
    <w:rsid w:val="603218BB"/>
    <w:rsid w:val="61BF0478"/>
    <w:rsid w:val="632476A4"/>
    <w:rsid w:val="63996489"/>
    <w:rsid w:val="63A21C7D"/>
    <w:rsid w:val="64C41A2B"/>
    <w:rsid w:val="67D93C98"/>
    <w:rsid w:val="693577DD"/>
    <w:rsid w:val="69DC4C1F"/>
    <w:rsid w:val="6D5867C1"/>
    <w:rsid w:val="6DF7310A"/>
    <w:rsid w:val="70BB2D69"/>
    <w:rsid w:val="72847DEB"/>
    <w:rsid w:val="76EA4EDD"/>
    <w:rsid w:val="77761948"/>
    <w:rsid w:val="78E15189"/>
    <w:rsid w:val="7AA8508B"/>
    <w:rsid w:val="7B591C93"/>
    <w:rsid w:val="7B952764"/>
    <w:rsid w:val="7BB62C4A"/>
    <w:rsid w:val="7C0D5263"/>
    <w:rsid w:val="7D9C3E3E"/>
    <w:rsid w:val="7DC22443"/>
    <w:rsid w:val="7ECB1D74"/>
    <w:rsid w:val="7F106B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5"/>
    <w:uiPriority w:val="0"/>
    <w:pPr>
      <w:spacing w:line="0" w:lineRule="atLeast"/>
    </w:pPr>
    <w:rPr>
      <w:rFonts w:hint="eastAsia" w:ascii="宋体" w:hAnsi="宋体" w:eastAsia="小标宋" w:cs="Times New Roman"/>
      <w:kern w:val="0"/>
      <w:sz w:val="44"/>
      <w:szCs w:val="32"/>
    </w:rPr>
  </w:style>
  <w:style w:type="paragraph" w:styleId="3">
    <w:name w:val="Body Text Indent"/>
    <w:basedOn w:val="1"/>
    <w:link w:val="12"/>
    <w:uiPriority w:val="0"/>
    <w:pPr>
      <w:spacing w:after="120"/>
      <w:ind w:left="420" w:leftChars="200"/>
    </w:pPr>
    <w:rPr>
      <w:rFonts w:hint="eastAsia" w:ascii="宋体" w:hAnsi="宋体" w:eastAsia="方正仿宋简体" w:cs="Times New Roman"/>
      <w:sz w:val="32"/>
      <w:szCs w:val="22"/>
    </w:rPr>
  </w:style>
  <w:style w:type="paragraph" w:styleId="4">
    <w:name w:val="footer"/>
    <w:basedOn w:val="1"/>
    <w:link w:val="11"/>
    <w:uiPriority w:val="0"/>
    <w:pPr>
      <w:tabs>
        <w:tab w:val="center" w:pos="4153"/>
        <w:tab w:val="right" w:pos="8306"/>
      </w:tabs>
      <w:snapToGrid w:val="0"/>
      <w:jc w:val="left"/>
    </w:pPr>
    <w:rPr>
      <w:sz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character" w:customStyle="1" w:styleId="10">
    <w:name w:val="页眉 Char1"/>
    <w:basedOn w:val="7"/>
    <w:link w:val="5"/>
    <w:qFormat/>
    <w:uiPriority w:val="0"/>
    <w:rPr>
      <w:rFonts w:hint="eastAsia" w:ascii="宋体" w:hAnsi="宋体" w:eastAsia="方正仿宋简体" w:cs="宋体"/>
      <w:kern w:val="2"/>
      <w:sz w:val="18"/>
      <w:szCs w:val="18"/>
    </w:rPr>
  </w:style>
  <w:style w:type="character" w:customStyle="1" w:styleId="11">
    <w:name w:val="页脚 Char1"/>
    <w:basedOn w:val="7"/>
    <w:link w:val="4"/>
    <w:qFormat/>
    <w:uiPriority w:val="0"/>
    <w:rPr>
      <w:rFonts w:hint="eastAsia" w:ascii="宋体" w:hAnsi="宋体" w:eastAsia="方正仿宋简体" w:cs="宋体"/>
      <w:kern w:val="2"/>
      <w:sz w:val="18"/>
      <w:szCs w:val="18"/>
    </w:rPr>
  </w:style>
  <w:style w:type="character" w:customStyle="1" w:styleId="12">
    <w:name w:val="正文文本缩进 Char"/>
    <w:basedOn w:val="7"/>
    <w:link w:val="3"/>
    <w:qFormat/>
    <w:uiPriority w:val="0"/>
    <w:rPr>
      <w:rFonts w:hint="eastAsia" w:ascii="宋体" w:hAnsi="宋体" w:eastAsia="方正仿宋简体" w:cs="宋体"/>
      <w:kern w:val="2"/>
      <w:sz w:val="32"/>
      <w:szCs w:val="22"/>
    </w:rPr>
  </w:style>
  <w:style w:type="character" w:customStyle="1" w:styleId="13">
    <w:name w:val="正文文本 Char"/>
    <w:basedOn w:val="7"/>
    <w:link w:val="2"/>
    <w:qFormat/>
    <w:uiPriority w:val="0"/>
    <w:rPr>
      <w:rFonts w:hint="default" w:ascii="Calibri" w:hAnsi="Calibri" w:eastAsia="宋体" w:cs="Times New Roman"/>
      <w:kern w:val="2"/>
      <w:sz w:val="21"/>
      <w:szCs w:val="24"/>
    </w:rPr>
  </w:style>
  <w:style w:type="paragraph" w:customStyle="1" w:styleId="14">
    <w:name w:val="Default"/>
    <w:basedOn w:val="1"/>
    <w:uiPriority w:val="0"/>
    <w:pPr>
      <w:autoSpaceDE w:val="0"/>
      <w:autoSpaceDN w:val="0"/>
      <w:adjustRightInd w:val="0"/>
      <w:jc w:val="left"/>
    </w:pPr>
    <w:rPr>
      <w:rFonts w:hint="eastAsia" w:ascii="仿宋_GB2312" w:hAnsi="Times New Roman" w:eastAsia="仿宋_GB2312" w:cs="Times New Roman"/>
      <w:color w:val="000000"/>
      <w:kern w:val="0"/>
      <w:sz w:val="24"/>
    </w:rPr>
  </w:style>
  <w:style w:type="character" w:customStyle="1" w:styleId="15">
    <w:name w:val="正文文本 Char1"/>
    <w:basedOn w:val="7"/>
    <w:link w:val="2"/>
    <w:uiPriority w:val="0"/>
    <w:rPr>
      <w:rFonts w:hint="eastAsia" w:ascii="宋体" w:hAnsi="宋体" w:eastAsia="小标宋" w:cs="宋体"/>
      <w:sz w:val="44"/>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oleObject" Target="embeddings/Document1.doc"/><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Words>
  <Characters>1999</Characters>
  <Lines>16</Lines>
  <Paragraphs>4</Paragraphs>
  <TotalTime>452</TotalTime>
  <ScaleCrop>false</ScaleCrop>
  <LinksUpToDate>false</LinksUpToDate>
  <CharactersWithSpaces>2345</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2022-08-08T01:00:00Z</dcterms:created>
  <dc:creator>Administrator</dc:creator>
  <cp:lastModifiedBy>Administrator</cp:lastModifiedBy>
  <cp:lastPrinted>2022-08-08T08:42:00Z</cp:lastPrinted>
  <dcterms:modified xsi:type="dcterms:W3CDTF">2022-08-08T09:40:16Z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