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2D" w:rsidRPr="00C716A0" w:rsidRDefault="00C716A0">
      <w:pPr>
        <w:spacing w:line="620" w:lineRule="exact"/>
        <w:jc w:val="left"/>
        <w:rPr>
          <w:rFonts w:ascii="黑体" w:eastAsia="黑体" w:hAnsi="黑体" w:cs="仿宋_GB2312"/>
          <w:sz w:val="32"/>
          <w:szCs w:val="32"/>
        </w:rPr>
      </w:pPr>
      <w:r w:rsidRPr="00C716A0">
        <w:rPr>
          <w:rFonts w:ascii="黑体" w:eastAsia="黑体" w:hAnsi="黑体" w:cs="仿宋_GB2312" w:hint="eastAsia"/>
          <w:sz w:val="32"/>
          <w:szCs w:val="32"/>
        </w:rPr>
        <w:t>附件</w:t>
      </w:r>
    </w:p>
    <w:p w:rsidR="00CF162D" w:rsidRDefault="00B81A01">
      <w:pPr>
        <w:spacing w:line="58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厦门市卫生健康发展建设三年行动计划</w:t>
      </w:r>
    </w:p>
    <w:p w:rsidR="00CF162D" w:rsidRDefault="00B81A01">
      <w:pPr>
        <w:spacing w:line="58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(2021—2023年）重点项目</w:t>
      </w:r>
    </w:p>
    <w:p w:rsidR="00CF162D" w:rsidRDefault="00CF162D">
      <w:pPr>
        <w:spacing w:line="580" w:lineRule="exact"/>
        <w:jc w:val="center"/>
        <w:rPr>
          <w:rFonts w:asciiTheme="majorEastAsia" w:eastAsiaTheme="majorEastAsia" w:hAnsiTheme="majorEastAsia" w:cstheme="majorEastAsia"/>
          <w:b/>
          <w:bCs/>
          <w:sz w:val="36"/>
          <w:szCs w:val="36"/>
        </w:rPr>
      </w:pPr>
    </w:p>
    <w:tbl>
      <w:tblPr>
        <w:tblStyle w:val="a8"/>
        <w:tblW w:w="9703" w:type="dxa"/>
        <w:jc w:val="center"/>
        <w:tblLook w:val="04A0"/>
      </w:tblPr>
      <w:tblGrid>
        <w:gridCol w:w="838"/>
        <w:gridCol w:w="1440"/>
        <w:gridCol w:w="1622"/>
        <w:gridCol w:w="5803"/>
      </w:tblGrid>
      <w:tr w:rsidR="00CF162D">
        <w:trPr>
          <w:trHeight w:val="480"/>
          <w:jc w:val="center"/>
        </w:trPr>
        <w:tc>
          <w:tcPr>
            <w:tcW w:w="838" w:type="dxa"/>
            <w:vAlign w:val="center"/>
          </w:tcPr>
          <w:p w:rsidR="00CF162D" w:rsidRDefault="00B81A01">
            <w:pPr>
              <w:spacing w:line="400" w:lineRule="exact"/>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序号</w:t>
            </w:r>
          </w:p>
        </w:tc>
        <w:tc>
          <w:tcPr>
            <w:tcW w:w="1440" w:type="dxa"/>
            <w:vAlign w:val="center"/>
          </w:tcPr>
          <w:p w:rsidR="00CF162D" w:rsidRDefault="00B81A01">
            <w:pPr>
              <w:spacing w:line="400" w:lineRule="exact"/>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重点领域</w:t>
            </w:r>
          </w:p>
        </w:tc>
        <w:tc>
          <w:tcPr>
            <w:tcW w:w="1622" w:type="dxa"/>
            <w:vAlign w:val="center"/>
          </w:tcPr>
          <w:p w:rsidR="00CF162D" w:rsidRDefault="00B81A01">
            <w:pPr>
              <w:spacing w:line="400" w:lineRule="exact"/>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重点项目</w:t>
            </w:r>
          </w:p>
        </w:tc>
        <w:tc>
          <w:tcPr>
            <w:tcW w:w="5803" w:type="dxa"/>
            <w:vAlign w:val="center"/>
          </w:tcPr>
          <w:p w:rsidR="00CF162D" w:rsidRDefault="00B81A01">
            <w:pPr>
              <w:spacing w:line="400" w:lineRule="exact"/>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项目建设内容</w:t>
            </w:r>
          </w:p>
        </w:tc>
      </w:tr>
      <w:tr w:rsidR="00CF162D">
        <w:trPr>
          <w:jc w:val="center"/>
        </w:trPr>
        <w:tc>
          <w:tcPr>
            <w:tcW w:w="838"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1</w:t>
            </w:r>
          </w:p>
        </w:tc>
        <w:tc>
          <w:tcPr>
            <w:tcW w:w="1440"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实施公共卫生能力提升建设</w:t>
            </w: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加强疾控机构硬件设施建设</w:t>
            </w:r>
          </w:p>
        </w:tc>
        <w:tc>
          <w:tcPr>
            <w:tcW w:w="5803" w:type="dxa"/>
            <w:vAlign w:val="center"/>
          </w:tcPr>
          <w:p w:rsidR="00CF162D" w:rsidRDefault="00B81A01">
            <w:pPr>
              <w:spacing w:line="400" w:lineRule="exact"/>
              <w:rPr>
                <w:rFonts w:ascii="仿宋" w:eastAsia="仿宋" w:hAnsi="仿宋" w:cs="仿宋"/>
                <w:sz w:val="28"/>
                <w:szCs w:val="28"/>
              </w:rPr>
            </w:pPr>
            <w:r>
              <w:rPr>
                <w:rFonts w:ascii="仿宋" w:eastAsia="仿宋" w:hAnsi="仿宋" w:cs="仿宋" w:hint="eastAsia"/>
                <w:sz w:val="28"/>
                <w:szCs w:val="28"/>
              </w:rPr>
              <w:t>常住人口超过100万人的思明区、湖里区和集美区疾控机构设备配置基本达到设区市水平。推进区级疾控中心标准化建设，加快配置一批急需基础的微生物检测和理化分析设备，促进提升体系能力水平。持续加强市、区疾控中心仪器设备配备。</w:t>
            </w:r>
          </w:p>
        </w:tc>
      </w:tr>
      <w:tr w:rsidR="00CF162D">
        <w:trPr>
          <w:trHeight w:val="1724"/>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加强公共卫生专业队伍建设</w:t>
            </w:r>
          </w:p>
        </w:tc>
        <w:tc>
          <w:tcPr>
            <w:tcW w:w="5803" w:type="dxa"/>
            <w:vAlign w:val="center"/>
          </w:tcPr>
          <w:p w:rsidR="00CF162D" w:rsidRDefault="00B81A01">
            <w:pPr>
              <w:spacing w:line="400" w:lineRule="exact"/>
              <w:rPr>
                <w:rFonts w:ascii="仿宋" w:eastAsia="仿宋" w:hAnsi="仿宋" w:cs="仿宋"/>
                <w:sz w:val="28"/>
                <w:szCs w:val="28"/>
              </w:rPr>
            </w:pPr>
            <w:r>
              <w:rPr>
                <w:rFonts w:ascii="仿宋" w:eastAsia="仿宋" w:hAnsi="仿宋" w:cs="仿宋" w:hint="eastAsia"/>
                <w:sz w:val="28"/>
                <w:szCs w:val="28"/>
              </w:rPr>
              <w:t>市疾控中心各专业设置首席专家，打造省内一流专业团队，建立现场流行病学实训平台；打造6支卫生应急队伍，提升突发、新发传染病4-6小时内的快速病毒鉴别能力。</w:t>
            </w:r>
          </w:p>
        </w:tc>
      </w:tr>
      <w:tr w:rsidR="00CF162D">
        <w:trPr>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加强公共卫生风险监测预警能力建设</w:t>
            </w:r>
          </w:p>
        </w:tc>
        <w:tc>
          <w:tcPr>
            <w:tcW w:w="5803" w:type="dxa"/>
            <w:vAlign w:val="center"/>
          </w:tcPr>
          <w:p w:rsidR="00CF162D" w:rsidRDefault="00B81A01">
            <w:pPr>
              <w:spacing w:line="400" w:lineRule="exact"/>
              <w:rPr>
                <w:rFonts w:ascii="仿宋" w:eastAsia="仿宋" w:hAnsi="仿宋" w:cs="仿宋"/>
                <w:sz w:val="28"/>
                <w:szCs w:val="28"/>
              </w:rPr>
            </w:pPr>
            <w:r>
              <w:rPr>
                <w:rFonts w:ascii="仿宋" w:eastAsia="仿宋" w:hAnsi="仿宋" w:cs="仿宋" w:hint="eastAsia"/>
                <w:sz w:val="28"/>
                <w:szCs w:val="28"/>
              </w:rPr>
              <w:t>完善多层级突发传染病疫情及突发公共卫生事件监测体系，完善厦门市传染病疫情监测溯源系统建设。</w:t>
            </w:r>
          </w:p>
        </w:tc>
      </w:tr>
      <w:tr w:rsidR="00CF162D">
        <w:trPr>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加强公共卫生医疗救治能力建设</w:t>
            </w:r>
          </w:p>
        </w:tc>
        <w:tc>
          <w:tcPr>
            <w:tcW w:w="5803" w:type="dxa"/>
            <w:vAlign w:val="center"/>
          </w:tcPr>
          <w:p w:rsidR="00CF162D" w:rsidRDefault="00B81A01">
            <w:pPr>
              <w:spacing w:line="400" w:lineRule="exact"/>
              <w:rPr>
                <w:rFonts w:ascii="仿宋" w:eastAsia="仿宋" w:hAnsi="仿宋" w:cs="仿宋"/>
                <w:sz w:val="28"/>
                <w:szCs w:val="28"/>
              </w:rPr>
            </w:pPr>
            <w:r>
              <w:rPr>
                <w:rFonts w:ascii="仿宋" w:eastAsia="仿宋" w:hAnsi="仿宋" w:cs="仿宋" w:hint="eastAsia"/>
                <w:sz w:val="28"/>
                <w:szCs w:val="28"/>
              </w:rPr>
              <w:t>按照发热门诊设置标准新建、改扩建23个市、区二级及以上综合医院、所有儿童专科医院发热门诊，并配置必要设施设备。设立独立建制的市级传染病医院，编制床位800张。</w:t>
            </w:r>
          </w:p>
        </w:tc>
      </w:tr>
      <w:tr w:rsidR="00CF162D">
        <w:trPr>
          <w:trHeight w:val="90"/>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加强突发公共卫生事件应急处置能力建设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根据省卫健委统一部署，推进突发事件卫生应急管理和指挥决策信息系统建设。开展突发化学中毒事件卫生应急救援能力建设，推进突发核辐射事件卫生应急救援基地建设。</w:t>
            </w:r>
          </w:p>
        </w:tc>
      </w:tr>
      <w:tr w:rsidR="00CF162D">
        <w:trPr>
          <w:trHeight w:val="1408"/>
          <w:jc w:val="center"/>
        </w:trPr>
        <w:tc>
          <w:tcPr>
            <w:tcW w:w="838"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2</w:t>
            </w:r>
          </w:p>
        </w:tc>
        <w:tc>
          <w:tcPr>
            <w:tcW w:w="1440"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提升医疗服务体系服务能力</w:t>
            </w:r>
          </w:p>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加强医疗服务体系建设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支持三级综合医院建设卒中中心、胸痛中心、创伤中心、呼吸诊疗中心，提升综合医院急危重症救治能力；力争到2023年底超过40%的基层医疗机构达到“优质服务基层行”推荐标准。</w:t>
            </w:r>
          </w:p>
        </w:tc>
      </w:tr>
      <w:tr w:rsidR="00CF162D">
        <w:trPr>
          <w:trHeight w:val="2241"/>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推进区域医疗中心建设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更大力度推进复旦中山厦门医院、复旦儿科厦门医院、川大华西厦门医院和北京中医药大学东直门医院厦门医院4个国家区域医疗中心试点建设，积极挖掘争取新的国家区域医疗中心。</w:t>
            </w:r>
          </w:p>
        </w:tc>
      </w:tr>
      <w:tr w:rsidR="00CF162D">
        <w:trPr>
          <w:trHeight w:val="1341"/>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提升医疗水平建设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巩固加强全市</w:t>
            </w:r>
            <w:r w:rsidR="00B12854">
              <w:rPr>
                <w:rFonts w:ascii="仿宋" w:eastAsia="仿宋" w:hAnsi="仿宋" w:cs="仿宋" w:hint="eastAsia"/>
                <w:sz w:val="28"/>
                <w:szCs w:val="28"/>
              </w:rPr>
              <w:t>5</w:t>
            </w:r>
            <w:r>
              <w:rPr>
                <w:rFonts w:ascii="仿宋" w:eastAsia="仿宋" w:hAnsi="仿宋" w:cs="仿宋" w:hint="eastAsia"/>
                <w:sz w:val="28"/>
                <w:szCs w:val="28"/>
              </w:rPr>
              <w:t>个省级临床医学中心、12个国家临床重点专科和42个省级临床重点专科建设。遴选新一批省级临床重点专科建设项目。</w:t>
            </w:r>
          </w:p>
        </w:tc>
      </w:tr>
      <w:tr w:rsidR="00CF162D">
        <w:trPr>
          <w:trHeight w:val="90"/>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加强市、区医疗机构基础设施建设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推进川大华西厦门医院、环东海域医院、马銮湾医院等12个医疗机构基建工作。</w:t>
            </w:r>
          </w:p>
        </w:tc>
      </w:tr>
      <w:tr w:rsidR="00CF162D">
        <w:trPr>
          <w:trHeight w:val="951"/>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center"/>
              <w:rPr>
                <w:rFonts w:ascii="仿宋" w:eastAsia="仿宋" w:hAnsi="仿宋" w:cs="仿宋"/>
                <w:sz w:val="28"/>
                <w:szCs w:val="28"/>
              </w:rPr>
            </w:pP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规范社会办医建设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督促各社会办医疗机构修订完善现有医疗规范和制度。加强市级医疗质控中心对社会办医疗机构的医疗质量控制督导工作，按照《厦门市卫生健康委 厦门市财政局关于印发厦门市鼓励民间资本办医财政扶持政策实施细则的通知》（厦卫规〔2021〕1号），对符合条件的社会办医疗机构每年的医保急诊人次和出院人次进行补助，同时鼓励符合条件的社会办医疗机构新增床位，按文件标准给予补助。</w:t>
            </w:r>
          </w:p>
        </w:tc>
      </w:tr>
      <w:tr w:rsidR="00CF162D">
        <w:trPr>
          <w:trHeight w:val="1482"/>
          <w:jc w:val="center"/>
        </w:trPr>
        <w:tc>
          <w:tcPr>
            <w:tcW w:w="838"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3</w:t>
            </w:r>
          </w:p>
        </w:tc>
        <w:tc>
          <w:tcPr>
            <w:tcW w:w="1440"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加强妇幼健康服务体系建设</w:t>
            </w:r>
          </w:p>
        </w:tc>
        <w:tc>
          <w:tcPr>
            <w:tcW w:w="1622"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推动生育全程优质服务区建设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完善思明区、湖里区妇幼生育全程服务项目；推动市妇幼保健院与区妇幼保健院开展深度合作，探索妇幼医联体合作模式。</w:t>
            </w:r>
          </w:p>
        </w:tc>
      </w:tr>
      <w:tr w:rsidR="00CF162D">
        <w:trPr>
          <w:trHeight w:val="1802"/>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left"/>
              <w:rPr>
                <w:rFonts w:ascii="仿宋" w:eastAsia="仿宋" w:hAnsi="仿宋" w:cs="仿宋"/>
                <w:sz w:val="28"/>
                <w:szCs w:val="28"/>
              </w:rPr>
            </w:pP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提升二级以上公立综合医院妇幼健康服务能力</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到2023年，市级危重孕产妇救治中心完成妇幼健康服务能力标准化建设，有条件的区级中心参照执行。</w:t>
            </w:r>
          </w:p>
        </w:tc>
      </w:tr>
      <w:tr w:rsidR="00CF162D">
        <w:trPr>
          <w:trHeight w:val="1426"/>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left"/>
              <w:rPr>
                <w:rFonts w:ascii="仿宋" w:eastAsia="仿宋" w:hAnsi="仿宋" w:cs="仿宋"/>
                <w:sz w:val="28"/>
                <w:szCs w:val="28"/>
              </w:rPr>
            </w:pP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加大产前诊断机构服务能力</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鼓励达到申报条件的机构积极申报产前诊断资质和产前筛查资质。到2023年，新增1家产前诊断机构。</w:t>
            </w:r>
          </w:p>
        </w:tc>
      </w:tr>
      <w:tr w:rsidR="00CF162D">
        <w:trPr>
          <w:trHeight w:val="90"/>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left"/>
              <w:rPr>
                <w:rFonts w:ascii="仿宋" w:eastAsia="仿宋" w:hAnsi="仿宋" w:cs="仿宋"/>
                <w:sz w:val="28"/>
                <w:szCs w:val="28"/>
              </w:rPr>
            </w:pP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推进普惠性托育园建设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2023年，全市3岁以下婴幼儿托位数力争达到1.9万个，每千人口拥有3岁以下婴幼儿托位</w:t>
            </w:r>
            <w:r>
              <w:rPr>
                <w:rFonts w:ascii="仿宋" w:eastAsia="仿宋" w:hAnsi="仿宋" w:cs="仿宋" w:hint="eastAsia"/>
                <w:sz w:val="28"/>
                <w:szCs w:val="28"/>
              </w:rPr>
              <w:lastRenderedPageBreak/>
              <w:t>数达到3.5个，托幼一体化比例至少达到10%。</w:t>
            </w:r>
          </w:p>
        </w:tc>
      </w:tr>
      <w:tr w:rsidR="00CF162D">
        <w:trPr>
          <w:trHeight w:val="2455"/>
          <w:jc w:val="center"/>
        </w:trPr>
        <w:tc>
          <w:tcPr>
            <w:tcW w:w="838"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1440"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推进老年健康服务体系建设</w:t>
            </w: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老年健康服务体系建设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到2022年底，全市二级及以上综合性医院设立老年医学科的比例达到50%。持续推进老年友善医疗机构建设，到2022年底，80%以上的综合性医院、康复医院、护理院和基层医疗机构成为老年友善医疗机构。争取全市创建3个全国示范性老年友好型社区。</w:t>
            </w:r>
          </w:p>
        </w:tc>
      </w:tr>
      <w:tr w:rsidR="00CF162D">
        <w:trPr>
          <w:trHeight w:val="1586"/>
          <w:jc w:val="center"/>
        </w:trPr>
        <w:tc>
          <w:tcPr>
            <w:tcW w:w="838"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5</w:t>
            </w:r>
          </w:p>
        </w:tc>
        <w:tc>
          <w:tcPr>
            <w:tcW w:w="1440"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加快中医药服务体系建设</w:t>
            </w: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中医药服务体系建设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深入推进以中医为特色的国家区域医疗中心建设。培养名中医继承人，遴选省级师带徒继承人100人以上，培养市级师带徒继承人60人以上。</w:t>
            </w:r>
          </w:p>
        </w:tc>
      </w:tr>
      <w:tr w:rsidR="00CF162D">
        <w:trPr>
          <w:trHeight w:val="1586"/>
          <w:jc w:val="center"/>
        </w:trPr>
        <w:tc>
          <w:tcPr>
            <w:tcW w:w="838" w:type="dxa"/>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6</w:t>
            </w:r>
          </w:p>
        </w:tc>
        <w:tc>
          <w:tcPr>
            <w:tcW w:w="1440"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强化职业病防治基础能力建设</w:t>
            </w: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职业病防治基础能力建设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到2023年，实现新增1家三级医院作为职业病诊断机构；支持依托三级医院建设1家尘肺病康复中心,在1-2家社区卫生服务中心开展尘肺病康复试点工作。</w:t>
            </w:r>
          </w:p>
        </w:tc>
      </w:tr>
      <w:tr w:rsidR="00CF162D">
        <w:trPr>
          <w:trHeight w:val="1586"/>
          <w:jc w:val="center"/>
        </w:trPr>
        <w:tc>
          <w:tcPr>
            <w:tcW w:w="838"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7</w:t>
            </w:r>
          </w:p>
        </w:tc>
        <w:tc>
          <w:tcPr>
            <w:tcW w:w="1440" w:type="dxa"/>
            <w:vMerge w:val="restart"/>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支持卫生人才队伍建设与科研创新发展</w:t>
            </w: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推进医学科技创新能力建设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2022年，力争至少新增省级临床医学研究中心、国家临床研究中心分中心各1家。加强市疾控中心生物安全三级实验室能力建设，支持厦门大学生物安全三级实验室建设。</w:t>
            </w:r>
          </w:p>
        </w:tc>
      </w:tr>
      <w:tr w:rsidR="00CF162D">
        <w:trPr>
          <w:trHeight w:val="481"/>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left"/>
              <w:rPr>
                <w:rFonts w:ascii="楷体" w:eastAsia="楷体" w:hAnsi="楷体" w:cs="楷体"/>
                <w:b/>
                <w:bCs/>
                <w:sz w:val="32"/>
                <w:szCs w:val="32"/>
              </w:rPr>
            </w:pP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加快卫生健康人才队伍建设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打造名医工作室成为引育人才精品平台。支持全市基层医疗卫生机构公开招聘200名以上医学人才。根据福建省卫生职业学校教学进度，预计持乡村医生参加执业能力提升培训100人左右。</w:t>
            </w:r>
          </w:p>
        </w:tc>
      </w:tr>
      <w:tr w:rsidR="00CF162D">
        <w:trPr>
          <w:trHeight w:val="1341"/>
          <w:jc w:val="center"/>
        </w:trPr>
        <w:tc>
          <w:tcPr>
            <w:tcW w:w="838" w:type="dxa"/>
            <w:vMerge w:val="restart"/>
            <w:vAlign w:val="center"/>
          </w:tcPr>
          <w:p w:rsidR="00CF162D" w:rsidRDefault="00B81A01">
            <w:pPr>
              <w:spacing w:line="400" w:lineRule="exact"/>
              <w:jc w:val="center"/>
              <w:rPr>
                <w:rFonts w:ascii="仿宋" w:eastAsia="仿宋" w:hAnsi="仿宋" w:cs="仿宋"/>
                <w:sz w:val="28"/>
                <w:szCs w:val="28"/>
              </w:rPr>
            </w:pPr>
            <w:r>
              <w:rPr>
                <w:rFonts w:ascii="仿宋" w:eastAsia="仿宋" w:hAnsi="仿宋" w:cs="仿宋" w:hint="eastAsia"/>
                <w:sz w:val="28"/>
                <w:szCs w:val="28"/>
              </w:rPr>
              <w:t>8</w:t>
            </w:r>
          </w:p>
        </w:tc>
        <w:tc>
          <w:tcPr>
            <w:tcW w:w="1440" w:type="dxa"/>
            <w:vMerge w:val="restart"/>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推进全民健康信息化建设</w:t>
            </w: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加强智慧医院信息化建设</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建设完善全市统一结算服务平台，以居民电子健康码为抓手，推进多码融合应用。</w:t>
            </w:r>
          </w:p>
        </w:tc>
      </w:tr>
      <w:tr w:rsidR="00CF162D">
        <w:trPr>
          <w:trHeight w:val="90"/>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left"/>
              <w:rPr>
                <w:rFonts w:ascii="仿宋" w:eastAsia="仿宋" w:hAnsi="仿宋" w:cs="仿宋"/>
                <w:sz w:val="28"/>
                <w:szCs w:val="28"/>
              </w:rPr>
            </w:pP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推进卫生健康信息共享协同</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建立区域医学影像共享平台，推行医疗机构数字影像“云胶片”服务。持续推进全市所有医疗机构医学影像共享互认。</w:t>
            </w:r>
          </w:p>
        </w:tc>
      </w:tr>
      <w:tr w:rsidR="00CF162D">
        <w:trPr>
          <w:trHeight w:val="897"/>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left"/>
              <w:rPr>
                <w:rFonts w:ascii="仿宋" w:eastAsia="仿宋" w:hAnsi="仿宋" w:cs="仿宋"/>
                <w:sz w:val="28"/>
                <w:szCs w:val="28"/>
              </w:rPr>
            </w:pP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提升公共卫生信息化水平</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建设疫苗全程可追溯信息化管理体系并融入预防接种云平台。加快数字化门诊建设。规划建设厦门市卫生健康综合业务监管平台。到2023年底，推动形成全市联网、全面对接、层</w:t>
            </w:r>
            <w:r>
              <w:rPr>
                <w:rFonts w:ascii="仿宋" w:eastAsia="仿宋" w:hAnsi="仿宋" w:cs="仿宋" w:hint="eastAsia"/>
                <w:sz w:val="28"/>
                <w:szCs w:val="28"/>
              </w:rPr>
              <w:lastRenderedPageBreak/>
              <w:t>级监管、多方联动的综合管理“一张网”。</w:t>
            </w:r>
          </w:p>
        </w:tc>
      </w:tr>
      <w:tr w:rsidR="00CF162D">
        <w:trPr>
          <w:trHeight w:val="1042"/>
          <w:jc w:val="center"/>
        </w:trPr>
        <w:tc>
          <w:tcPr>
            <w:tcW w:w="838" w:type="dxa"/>
            <w:vMerge/>
            <w:vAlign w:val="center"/>
          </w:tcPr>
          <w:p w:rsidR="00CF162D" w:rsidRDefault="00CF162D">
            <w:pPr>
              <w:spacing w:line="400" w:lineRule="exact"/>
              <w:jc w:val="center"/>
              <w:rPr>
                <w:rFonts w:ascii="仿宋" w:eastAsia="仿宋" w:hAnsi="仿宋" w:cs="仿宋"/>
                <w:sz w:val="28"/>
                <w:szCs w:val="28"/>
              </w:rPr>
            </w:pPr>
          </w:p>
        </w:tc>
        <w:tc>
          <w:tcPr>
            <w:tcW w:w="1440" w:type="dxa"/>
            <w:vMerge/>
            <w:vAlign w:val="center"/>
          </w:tcPr>
          <w:p w:rsidR="00CF162D" w:rsidRDefault="00CF162D">
            <w:pPr>
              <w:spacing w:line="400" w:lineRule="exact"/>
              <w:jc w:val="left"/>
              <w:rPr>
                <w:rFonts w:ascii="仿宋" w:eastAsia="仿宋" w:hAnsi="仿宋" w:cs="仿宋"/>
                <w:sz w:val="28"/>
                <w:szCs w:val="28"/>
              </w:rPr>
            </w:pPr>
          </w:p>
        </w:tc>
        <w:tc>
          <w:tcPr>
            <w:tcW w:w="1622"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促进健康医疗大数据创新应用</w:t>
            </w:r>
          </w:p>
        </w:tc>
        <w:tc>
          <w:tcPr>
            <w:tcW w:w="5803" w:type="dxa"/>
            <w:vAlign w:val="center"/>
          </w:tcPr>
          <w:p w:rsidR="00CF162D" w:rsidRDefault="00B81A01">
            <w:pPr>
              <w:spacing w:line="400" w:lineRule="exact"/>
              <w:jc w:val="left"/>
              <w:rPr>
                <w:rFonts w:ascii="仿宋" w:eastAsia="仿宋" w:hAnsi="仿宋" w:cs="仿宋"/>
                <w:sz w:val="28"/>
                <w:szCs w:val="28"/>
              </w:rPr>
            </w:pPr>
            <w:r>
              <w:rPr>
                <w:rFonts w:ascii="仿宋" w:eastAsia="仿宋" w:hAnsi="仿宋" w:cs="仿宋" w:hint="eastAsia"/>
                <w:sz w:val="28"/>
                <w:szCs w:val="28"/>
              </w:rPr>
              <w:t>到2023年底，建成肝癌、慢阻肺、乳腺癌等病种的专病库和生物样本库，为开展医学临床科研、生命科学研究提供数据与技术支撑。</w:t>
            </w:r>
          </w:p>
        </w:tc>
      </w:tr>
    </w:tbl>
    <w:p w:rsidR="00CF162D" w:rsidRDefault="00CF162D">
      <w:pPr>
        <w:spacing w:line="620" w:lineRule="exact"/>
        <w:jc w:val="center"/>
        <w:rPr>
          <w:rFonts w:asciiTheme="majorEastAsia" w:eastAsiaTheme="majorEastAsia" w:hAnsiTheme="majorEastAsia" w:cstheme="majorEastAsia"/>
          <w:b/>
          <w:bCs/>
          <w:sz w:val="36"/>
          <w:szCs w:val="36"/>
        </w:rPr>
      </w:pPr>
    </w:p>
    <w:p w:rsidR="00CF162D" w:rsidRDefault="00CF162D"/>
    <w:p w:rsidR="00CF162D" w:rsidRDefault="00CF162D">
      <w:pPr>
        <w:spacing w:line="580" w:lineRule="exact"/>
        <w:ind w:firstLineChars="200" w:firstLine="640"/>
        <w:rPr>
          <w:rFonts w:ascii="仿宋" w:eastAsia="仿宋" w:hAnsi="仿宋" w:cs="仿宋"/>
          <w:sz w:val="32"/>
          <w:szCs w:val="32"/>
        </w:rPr>
      </w:pPr>
    </w:p>
    <w:sectPr w:rsidR="00CF162D" w:rsidSect="00372B91">
      <w:footerReference w:type="default" r:id="rId7"/>
      <w:pgSz w:w="11906" w:h="16838"/>
      <w:pgMar w:top="1417" w:right="1531" w:bottom="1361" w:left="1531" w:header="851" w:footer="992" w:gutter="0"/>
      <w:pgNumType w:start="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06A" w:rsidRDefault="0066306A" w:rsidP="00CF162D">
      <w:r>
        <w:separator/>
      </w:r>
    </w:p>
  </w:endnote>
  <w:endnote w:type="continuationSeparator" w:id="1">
    <w:p w:rsidR="0066306A" w:rsidRDefault="0066306A" w:rsidP="00CF1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62D" w:rsidRDefault="004113EA">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CF162D" w:rsidRDefault="004113EA">
                <w:pPr>
                  <w:pStyle w:val="a5"/>
                </w:pPr>
                <w:r>
                  <w:rPr>
                    <w:rFonts w:hint="eastAsia"/>
                  </w:rPr>
                  <w:fldChar w:fldCharType="begin"/>
                </w:r>
                <w:r w:rsidR="00B81A01">
                  <w:rPr>
                    <w:rFonts w:hint="eastAsia"/>
                  </w:rPr>
                  <w:instrText xml:space="preserve"> PAGE  \* MERGEFORMAT </w:instrText>
                </w:r>
                <w:r>
                  <w:rPr>
                    <w:rFonts w:hint="eastAsia"/>
                  </w:rPr>
                  <w:fldChar w:fldCharType="separate"/>
                </w:r>
                <w:r w:rsidR="00B12854">
                  <w:rPr>
                    <w:noProof/>
                  </w:rPr>
                  <w:t>14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06A" w:rsidRDefault="0066306A" w:rsidP="00CF162D">
      <w:r>
        <w:separator/>
      </w:r>
    </w:p>
  </w:footnote>
  <w:footnote w:type="continuationSeparator" w:id="1">
    <w:p w:rsidR="0066306A" w:rsidRDefault="0066306A" w:rsidP="00CF1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MwZmNkNWFhZTM0NTQzZTUxZmViNTZkMzM5OWUyNTYifQ=="/>
  </w:docVars>
  <w:rsids>
    <w:rsidRoot w:val="39F05909"/>
    <w:rsid w:val="CBF6014D"/>
    <w:rsid w:val="DDF6D579"/>
    <w:rsid w:val="DEC9418C"/>
    <w:rsid w:val="EBF32079"/>
    <w:rsid w:val="FFED1A6F"/>
    <w:rsid w:val="000868CB"/>
    <w:rsid w:val="001C1AFC"/>
    <w:rsid w:val="00372B91"/>
    <w:rsid w:val="004113EA"/>
    <w:rsid w:val="0066306A"/>
    <w:rsid w:val="008150EE"/>
    <w:rsid w:val="00855D95"/>
    <w:rsid w:val="00B12854"/>
    <w:rsid w:val="00B81A01"/>
    <w:rsid w:val="00BF4990"/>
    <w:rsid w:val="00C716A0"/>
    <w:rsid w:val="00CF162D"/>
    <w:rsid w:val="00D1091D"/>
    <w:rsid w:val="00E000CD"/>
    <w:rsid w:val="01765386"/>
    <w:rsid w:val="037051CE"/>
    <w:rsid w:val="0419166E"/>
    <w:rsid w:val="049115DB"/>
    <w:rsid w:val="078C18D8"/>
    <w:rsid w:val="08024920"/>
    <w:rsid w:val="08DF4488"/>
    <w:rsid w:val="091E7BD1"/>
    <w:rsid w:val="093461E4"/>
    <w:rsid w:val="09ED5207"/>
    <w:rsid w:val="0A8F4DAF"/>
    <w:rsid w:val="0BCA0E8F"/>
    <w:rsid w:val="0BCB7817"/>
    <w:rsid w:val="0BD26981"/>
    <w:rsid w:val="0E6D5600"/>
    <w:rsid w:val="103D45F7"/>
    <w:rsid w:val="110E588A"/>
    <w:rsid w:val="117F233F"/>
    <w:rsid w:val="11BC6784"/>
    <w:rsid w:val="12460899"/>
    <w:rsid w:val="124D29DE"/>
    <w:rsid w:val="12603288"/>
    <w:rsid w:val="12D94933"/>
    <w:rsid w:val="137D1B59"/>
    <w:rsid w:val="143A7309"/>
    <w:rsid w:val="15616530"/>
    <w:rsid w:val="15AB080F"/>
    <w:rsid w:val="15F76D6D"/>
    <w:rsid w:val="17367930"/>
    <w:rsid w:val="18052FFB"/>
    <w:rsid w:val="18AD762E"/>
    <w:rsid w:val="1C727FE0"/>
    <w:rsid w:val="1D982D54"/>
    <w:rsid w:val="1DEA558F"/>
    <w:rsid w:val="1E837BC1"/>
    <w:rsid w:val="1F3B1F36"/>
    <w:rsid w:val="211F4454"/>
    <w:rsid w:val="229000BA"/>
    <w:rsid w:val="22FD1A99"/>
    <w:rsid w:val="2396172F"/>
    <w:rsid w:val="23A146BA"/>
    <w:rsid w:val="24081F29"/>
    <w:rsid w:val="25626AD2"/>
    <w:rsid w:val="25973FCF"/>
    <w:rsid w:val="25FB0808"/>
    <w:rsid w:val="27EE5136"/>
    <w:rsid w:val="285A09CC"/>
    <w:rsid w:val="290E3437"/>
    <w:rsid w:val="2AA9620F"/>
    <w:rsid w:val="2AE21C99"/>
    <w:rsid w:val="2B1078E1"/>
    <w:rsid w:val="2BEA01F7"/>
    <w:rsid w:val="2D781A07"/>
    <w:rsid w:val="2DBA4549"/>
    <w:rsid w:val="2E300317"/>
    <w:rsid w:val="2E99280A"/>
    <w:rsid w:val="2FD779B9"/>
    <w:rsid w:val="31531E57"/>
    <w:rsid w:val="324F3D7B"/>
    <w:rsid w:val="32EC2196"/>
    <w:rsid w:val="334852E9"/>
    <w:rsid w:val="34DA6C49"/>
    <w:rsid w:val="35411E39"/>
    <w:rsid w:val="368B7B5F"/>
    <w:rsid w:val="38907A99"/>
    <w:rsid w:val="39F05909"/>
    <w:rsid w:val="3A707D02"/>
    <w:rsid w:val="3B271178"/>
    <w:rsid w:val="3B4E3A62"/>
    <w:rsid w:val="3BBB7722"/>
    <w:rsid w:val="3DF05A57"/>
    <w:rsid w:val="3EC13E4B"/>
    <w:rsid w:val="3EF206D3"/>
    <w:rsid w:val="3FBA3619"/>
    <w:rsid w:val="412641FE"/>
    <w:rsid w:val="41483977"/>
    <w:rsid w:val="41510D85"/>
    <w:rsid w:val="41735BFC"/>
    <w:rsid w:val="445B582E"/>
    <w:rsid w:val="477F0944"/>
    <w:rsid w:val="47F166CC"/>
    <w:rsid w:val="4A24726B"/>
    <w:rsid w:val="4AC173E6"/>
    <w:rsid w:val="4B6B3CC3"/>
    <w:rsid w:val="4EA326D1"/>
    <w:rsid w:val="4F00533E"/>
    <w:rsid w:val="50912B1E"/>
    <w:rsid w:val="512B4103"/>
    <w:rsid w:val="51897009"/>
    <w:rsid w:val="53340EDC"/>
    <w:rsid w:val="54683F02"/>
    <w:rsid w:val="55021FE7"/>
    <w:rsid w:val="55270CCD"/>
    <w:rsid w:val="57194A9F"/>
    <w:rsid w:val="57E869E2"/>
    <w:rsid w:val="5817578A"/>
    <w:rsid w:val="59F65D85"/>
    <w:rsid w:val="5ABC6BDA"/>
    <w:rsid w:val="5B562822"/>
    <w:rsid w:val="5B9324C0"/>
    <w:rsid w:val="5C55269F"/>
    <w:rsid w:val="5D5207AF"/>
    <w:rsid w:val="5E157CD1"/>
    <w:rsid w:val="5FF362F9"/>
    <w:rsid w:val="60961D74"/>
    <w:rsid w:val="60CB08CB"/>
    <w:rsid w:val="61760DDE"/>
    <w:rsid w:val="61DB22AE"/>
    <w:rsid w:val="62395FEA"/>
    <w:rsid w:val="649B3008"/>
    <w:rsid w:val="65883508"/>
    <w:rsid w:val="66037160"/>
    <w:rsid w:val="66F8611F"/>
    <w:rsid w:val="66F9631C"/>
    <w:rsid w:val="68674D6B"/>
    <w:rsid w:val="68C7568C"/>
    <w:rsid w:val="69335445"/>
    <w:rsid w:val="6BBC4C61"/>
    <w:rsid w:val="6C6E26B3"/>
    <w:rsid w:val="6C8D0047"/>
    <w:rsid w:val="6DBE5CB1"/>
    <w:rsid w:val="6DD35C7B"/>
    <w:rsid w:val="6E7E6E28"/>
    <w:rsid w:val="6FFDB69C"/>
    <w:rsid w:val="70061AF8"/>
    <w:rsid w:val="726F7253"/>
    <w:rsid w:val="729B69CD"/>
    <w:rsid w:val="73644671"/>
    <w:rsid w:val="73AD3888"/>
    <w:rsid w:val="73D52793"/>
    <w:rsid w:val="745B41CC"/>
    <w:rsid w:val="758A5E38"/>
    <w:rsid w:val="75A5729A"/>
    <w:rsid w:val="79280AD2"/>
    <w:rsid w:val="79403255"/>
    <w:rsid w:val="798711C5"/>
    <w:rsid w:val="79FC153B"/>
    <w:rsid w:val="7D4822EE"/>
    <w:rsid w:val="7E0E424C"/>
    <w:rsid w:val="7ECC50BC"/>
    <w:rsid w:val="7EDF571A"/>
    <w:rsid w:val="7EFF4296"/>
    <w:rsid w:val="7F57310A"/>
    <w:rsid w:val="7FA27EE7"/>
    <w:rsid w:val="7FBE305D"/>
    <w:rsid w:val="7FD454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62D"/>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1"/>
    <w:qFormat/>
    <w:rsid w:val="00CF162D"/>
    <w:pPr>
      <w:ind w:left="127"/>
      <w:outlineLvl w:val="1"/>
    </w:pPr>
    <w:rPr>
      <w:rFonts w:ascii="宋体" w:eastAsia="宋体" w:hAnsi="宋体" w:cs="宋体"/>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CF162D"/>
    <w:pPr>
      <w:ind w:left="1680"/>
      <w:jc w:val="left"/>
    </w:pPr>
  </w:style>
  <w:style w:type="paragraph" w:styleId="a3">
    <w:name w:val="Body Text"/>
    <w:basedOn w:val="a"/>
    <w:next w:val="5"/>
    <w:qFormat/>
    <w:rsid w:val="00CF162D"/>
    <w:pPr>
      <w:spacing w:after="140" w:line="276" w:lineRule="auto"/>
    </w:pPr>
  </w:style>
  <w:style w:type="paragraph" w:styleId="a4">
    <w:name w:val="Balloon Text"/>
    <w:basedOn w:val="a"/>
    <w:semiHidden/>
    <w:qFormat/>
    <w:rsid w:val="00CF162D"/>
    <w:rPr>
      <w:sz w:val="18"/>
      <w:szCs w:val="18"/>
    </w:rPr>
  </w:style>
  <w:style w:type="paragraph" w:styleId="a5">
    <w:name w:val="footer"/>
    <w:basedOn w:val="a"/>
    <w:qFormat/>
    <w:rsid w:val="00CF162D"/>
    <w:pPr>
      <w:tabs>
        <w:tab w:val="center" w:pos="4153"/>
        <w:tab w:val="right" w:pos="8306"/>
      </w:tabs>
      <w:snapToGrid w:val="0"/>
      <w:jc w:val="left"/>
    </w:pPr>
    <w:rPr>
      <w:sz w:val="18"/>
    </w:rPr>
  </w:style>
  <w:style w:type="paragraph" w:styleId="a6">
    <w:name w:val="header"/>
    <w:basedOn w:val="a"/>
    <w:link w:val="Char"/>
    <w:qFormat/>
    <w:rsid w:val="00CF162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F162D"/>
    <w:pPr>
      <w:spacing w:before="100" w:beforeAutospacing="1" w:after="100" w:afterAutospacing="1"/>
      <w:jc w:val="left"/>
    </w:pPr>
    <w:rPr>
      <w:rFonts w:cs="Times New Roman"/>
      <w:kern w:val="0"/>
      <w:sz w:val="24"/>
    </w:rPr>
  </w:style>
  <w:style w:type="table" w:styleId="a8">
    <w:name w:val="Table Grid"/>
    <w:basedOn w:val="a1"/>
    <w:qFormat/>
    <w:rsid w:val="00CF16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CF162D"/>
    <w:rPr>
      <w:i/>
    </w:rPr>
  </w:style>
  <w:style w:type="character" w:customStyle="1" w:styleId="NormalCharacter">
    <w:name w:val="NormalCharacter"/>
    <w:semiHidden/>
    <w:qFormat/>
    <w:rsid w:val="00CF162D"/>
    <w:rPr>
      <w:rFonts w:ascii="Calibri" w:eastAsia="宋体" w:hAnsi="Calibri" w:cs="Times New Roman"/>
      <w:kern w:val="2"/>
      <w:sz w:val="21"/>
      <w:szCs w:val="24"/>
      <w:lang w:val="en-US" w:eastAsia="zh-CN" w:bidi="ar-SA"/>
    </w:rPr>
  </w:style>
  <w:style w:type="paragraph" w:customStyle="1" w:styleId="Bodytext1">
    <w:name w:val="Body text|1"/>
    <w:basedOn w:val="a"/>
    <w:uiPriority w:val="99"/>
    <w:qFormat/>
    <w:rsid w:val="00CF162D"/>
    <w:pPr>
      <w:spacing w:line="382" w:lineRule="auto"/>
      <w:ind w:firstLine="400"/>
      <w:jc w:val="left"/>
    </w:pPr>
    <w:rPr>
      <w:rFonts w:ascii="宋体" w:hAnsi="宋体" w:cs="宋体"/>
      <w:sz w:val="68"/>
      <w:szCs w:val="68"/>
      <w:lang w:val="zh-TW" w:eastAsia="zh-TW"/>
    </w:rPr>
  </w:style>
  <w:style w:type="character" w:customStyle="1" w:styleId="Char">
    <w:name w:val="页眉 Char"/>
    <w:basedOn w:val="a0"/>
    <w:link w:val="a6"/>
    <w:qFormat/>
    <w:rsid w:val="00CF16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江鹭燕</cp:lastModifiedBy>
  <cp:revision>5</cp:revision>
  <cp:lastPrinted>2022-06-07T23:37:00Z</cp:lastPrinted>
  <dcterms:created xsi:type="dcterms:W3CDTF">2022-06-27T01:59:00Z</dcterms:created>
  <dcterms:modified xsi:type="dcterms:W3CDTF">2022-06-28T01:52:00Z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21338C82E5D54524AD9A6EFBED107A41</vt:lpwstr>
  </property>
</Properties>
</file>