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36"/>
          <w:szCs w:val="36"/>
          <w:lang w:val="en-US"/>
        </w:rPr>
      </w:pPr>
      <w:r>
        <w:rPr>
          <w:rFonts w:hint="eastAsia" w:ascii="方正小标宋简体" w:hAnsi="方正小标宋简体" w:eastAsia="方正小标宋简体" w:cs="方正小标宋简体"/>
          <w:bCs/>
          <w:kern w:val="2"/>
          <w:sz w:val="36"/>
          <w:szCs w:val="36"/>
          <w:lang w:val="en-US" w:eastAsia="zh-CN" w:bidi="ar"/>
        </w:rPr>
        <w:t>《中华人民共和国噪声污染防治法》部分条款部门职责分工方案</w:t>
      </w:r>
    </w:p>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 xml:space="preserve">                                </w:t>
      </w:r>
      <w:r>
        <w:rPr>
          <w:rFonts w:hint="eastAsia" w:ascii="楷体_GB2312" w:hAnsi="楷体_GB2312" w:eastAsia="楷体_GB2312" w:cs="楷体_GB2312"/>
          <w:kern w:val="2"/>
          <w:sz w:val="32"/>
          <w:szCs w:val="32"/>
          <w:lang w:val="en-US" w:eastAsia="zh-CN" w:bidi="ar"/>
        </w:rPr>
        <w:t xml:space="preserve"> </w:t>
      </w:r>
      <w:bookmarkStart w:id="0" w:name="_GoBack"/>
      <w:bookmarkEnd w:id="0"/>
    </w:p>
    <w:tbl>
      <w:tblPr>
        <w:tblStyle w:val="3"/>
        <w:tblW w:w="13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28"/>
        <w:gridCol w:w="1155"/>
        <w:gridCol w:w="6720"/>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blHeader/>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24"/>
                <w:szCs w:val="24"/>
                <w:bdr w:val="none" w:color="auto" w:sz="0" w:space="0"/>
                <w:lang w:val="en-US"/>
              </w:rPr>
            </w:pPr>
            <w:r>
              <w:rPr>
                <w:rFonts w:hint="eastAsia" w:ascii="仿宋_GB2312" w:hAnsi="Calibri" w:eastAsia="仿宋_GB2312" w:cs="仿宋_GB2312"/>
                <w:bCs/>
                <w:kern w:val="2"/>
                <w:sz w:val="24"/>
                <w:szCs w:val="24"/>
                <w:bdr w:val="none" w:color="auto" w:sz="0" w:space="0"/>
                <w:lang w:val="en-US" w:eastAsia="zh-CN" w:bidi="ar"/>
              </w:rPr>
              <w:t>序号</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24"/>
                <w:szCs w:val="24"/>
                <w:bdr w:val="none" w:color="auto" w:sz="0" w:space="0"/>
                <w:lang w:val="en-US"/>
              </w:rPr>
            </w:pPr>
            <w:r>
              <w:rPr>
                <w:rFonts w:hint="eastAsia" w:ascii="仿宋_GB2312" w:hAnsi="Calibri" w:eastAsia="仿宋_GB2312" w:cs="仿宋_GB2312"/>
                <w:bCs/>
                <w:kern w:val="2"/>
                <w:sz w:val="24"/>
                <w:szCs w:val="24"/>
                <w:bdr w:val="none" w:color="auto" w:sz="0" w:space="0"/>
                <w:lang w:val="en-US" w:eastAsia="zh-CN" w:bidi="ar"/>
              </w:rPr>
              <w:t>条款</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24"/>
                <w:szCs w:val="24"/>
                <w:bdr w:val="none" w:color="auto" w:sz="0" w:space="0"/>
                <w:lang w:val="en-US"/>
              </w:rPr>
            </w:pPr>
            <w:r>
              <w:rPr>
                <w:rFonts w:hint="eastAsia" w:ascii="仿宋_GB2312" w:hAnsi="Calibri" w:eastAsia="仿宋_GB2312" w:cs="仿宋_GB2312"/>
                <w:bCs/>
                <w:kern w:val="2"/>
                <w:sz w:val="24"/>
                <w:szCs w:val="24"/>
                <w:bdr w:val="none" w:color="auto" w:sz="0" w:space="0"/>
                <w:lang w:val="en-US" w:eastAsia="zh-CN" w:bidi="ar"/>
              </w:rPr>
              <w:t>法  律  内  容</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bCs/>
                <w:sz w:val="24"/>
                <w:szCs w:val="24"/>
                <w:bdr w:val="none" w:color="auto" w:sz="0" w:space="0"/>
                <w:lang w:val="en-US"/>
              </w:rPr>
            </w:pPr>
            <w:r>
              <w:rPr>
                <w:rFonts w:hint="eastAsia" w:ascii="仿宋_GB2312" w:hAnsi="Calibri" w:eastAsia="仿宋_GB2312" w:cs="仿宋_GB2312"/>
                <w:bCs/>
                <w:kern w:val="2"/>
                <w:sz w:val="24"/>
                <w:szCs w:val="24"/>
                <w:bdr w:val="none" w:color="auto" w:sz="0" w:space="0"/>
                <w:lang w:val="en-US" w:eastAsia="zh-CN" w:bidi="ar"/>
              </w:rPr>
              <w:t>职责部门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612"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1</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仿宋_GB2312" w:eastAsia="仿宋_GB2312" w:cs="仿宋_GB2312"/>
                <w:color w:val="000000"/>
                <w:kern w:val="2"/>
                <w:sz w:val="24"/>
                <w:szCs w:val="24"/>
                <w:bdr w:val="none" w:color="auto" w:sz="0" w:space="0"/>
                <w:lang w:val="en-US" w:eastAsia="zh-CN" w:bidi="ar"/>
              </w:rPr>
              <w:t>第三十三条</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hd w:val="clear" w:fill="FFFFFF"/>
              <w:spacing w:before="0" w:beforeAutospacing="1" w:after="0" w:afterAutospacing="0"/>
              <w:ind w:left="0" w:right="0" w:firstLine="480" w:firstLineChars="200"/>
              <w:jc w:val="both"/>
              <w:rPr>
                <w:rFonts w:hint="eastAsia" w:ascii="仿宋_GB2312" w:eastAsia="仿宋_GB2312" w:cs="仿宋_GB2312"/>
                <w:sz w:val="24"/>
                <w:szCs w:val="24"/>
                <w:bdr w:val="none" w:color="auto" w:sz="0" w:space="0"/>
                <w:shd w:val="clear" w:fill="FFFFFF"/>
                <w:lang w:val="en-US"/>
              </w:rPr>
            </w:pPr>
            <w:r>
              <w:rPr>
                <w:rFonts w:hint="eastAsia" w:ascii="仿宋_GB2312" w:hAnsi="仿宋_GB2312" w:eastAsia="仿宋_GB2312" w:cs="仿宋_GB2312"/>
                <w:color w:val="000000"/>
                <w:kern w:val="0"/>
                <w:sz w:val="24"/>
                <w:szCs w:val="24"/>
                <w:bdr w:val="none" w:color="auto" w:sz="0" w:space="0"/>
                <w:shd w:val="clear" w:fill="FFFFFF"/>
                <w:lang w:val="en-US" w:eastAsia="zh-CN" w:bidi="ar"/>
              </w:rPr>
              <w:t>在举行中等学校招生考试、高等学校招生统一考试等特殊活动期间，地方人民政府或者其指定的部门可以对可能产生噪声影响的活动，作出时间和区域的限制性规定，并提前向社会公告。</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leftChars="-1" w:right="0" w:hanging="2" w:hangingChars="1"/>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color w:val="000000"/>
                <w:kern w:val="2"/>
                <w:sz w:val="24"/>
                <w:szCs w:val="24"/>
                <w:bdr w:val="none" w:color="auto" w:sz="0" w:space="0"/>
                <w:lang w:val="en-US" w:eastAsia="zh-CN" w:bidi="ar"/>
              </w:rPr>
              <w:t xml:space="preserve">    此条款由</w:t>
            </w:r>
            <w:r>
              <w:rPr>
                <w:rFonts w:hint="eastAsia" w:ascii="仿宋_GB2312" w:hAnsi="仿宋_GB2312" w:eastAsia="仿宋_GB2312" w:cs="仿宋_GB2312"/>
                <w:color w:val="000000"/>
                <w:kern w:val="2"/>
                <w:sz w:val="24"/>
                <w:szCs w:val="24"/>
                <w:bdr w:val="none" w:color="auto" w:sz="0" w:space="0"/>
                <w:lang w:val="en-US" w:eastAsia="zh-CN" w:bidi="ar"/>
              </w:rPr>
              <w:t>生态环境主管部门、</w:t>
            </w:r>
            <w:r>
              <w:rPr>
                <w:rFonts w:hint="eastAsia" w:ascii="仿宋_GB2312" w:hAnsi="Calibri" w:eastAsia="仿宋_GB2312" w:cs="仿宋_GB2312"/>
                <w:kern w:val="2"/>
                <w:sz w:val="24"/>
                <w:szCs w:val="24"/>
                <w:bdr w:val="none" w:color="auto" w:sz="0" w:space="0"/>
                <w:lang w:val="en-US" w:eastAsia="zh-CN" w:bidi="ar"/>
              </w:rPr>
              <w:t>城市管理行政执法部门</w:t>
            </w:r>
            <w:r>
              <w:rPr>
                <w:rFonts w:hint="eastAsia" w:ascii="仿宋_GB2312" w:hAnsi="仿宋_GB2312" w:eastAsia="仿宋_GB2312" w:cs="仿宋_GB2312"/>
                <w:color w:val="000000"/>
                <w:kern w:val="2"/>
                <w:sz w:val="24"/>
                <w:szCs w:val="24"/>
                <w:bdr w:val="none" w:color="auto" w:sz="0" w:space="0"/>
                <w:lang w:val="en-US" w:eastAsia="zh-CN" w:bidi="ar"/>
              </w:rPr>
              <w:t>、公安部门、交通运输部门负责。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2</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第七十二条第二款</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firstLine="480" w:firstLineChars="200"/>
              <w:jc w:val="both"/>
              <w:rPr>
                <w:rFonts w:hint="eastAsia" w:ascii="仿宋_GB2312" w:eastAsia="仿宋_GB2312" w:cs="仿宋_GB2312"/>
                <w:color w:val="000000"/>
                <w:sz w:val="24"/>
                <w:szCs w:val="24"/>
                <w:bdr w:val="none" w:color="auto" w:sz="0" w:space="0"/>
                <w:lang w:val="en-US"/>
              </w:rPr>
            </w:pPr>
            <w:r>
              <w:rPr>
                <w:rFonts w:hint="eastAsia" w:ascii="仿宋_GB2312" w:hAnsi="Calibri" w:eastAsia="仿宋_GB2312" w:cs="仿宋_GB2312"/>
                <w:color w:val="000000"/>
                <w:kern w:val="2"/>
                <w:sz w:val="24"/>
                <w:szCs w:val="24"/>
                <w:bdr w:val="none" w:color="auto" w:sz="0" w:space="0"/>
                <w:lang w:val="en-US" w:eastAsia="zh-CN" w:bidi="ar"/>
              </w:rPr>
              <w:t>此条款由市场监督管理部门、工业和信息化管理部门、海关部门按照职责行使处罚权。</w:t>
            </w:r>
          </w:p>
          <w:p>
            <w:pPr>
              <w:keepNext w:val="0"/>
              <w:keepLines w:val="0"/>
              <w:widowControl w:val="0"/>
              <w:suppressLineNumbers w:val="0"/>
              <w:tabs>
                <w:tab w:val="left" w:pos="1089"/>
              </w:tabs>
              <w:spacing w:before="0" w:beforeAutospacing="0" w:after="0" w:afterAutospacing="0" w:line="300" w:lineRule="exact"/>
              <w:ind w:left="0" w:right="0" w:firstLine="480" w:firstLineChars="200"/>
              <w:jc w:val="both"/>
              <w:rPr>
                <w:rFonts w:hint="eastAsia" w:ascii="仿宋_GB2312" w:eastAsia="仿宋_GB2312" w:cs="仿宋_GB2312"/>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3</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第七十三条第二款</w:t>
            </w:r>
          </w:p>
        </w:tc>
        <w:tc>
          <w:tcPr>
            <w:tcW w:w="672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00" w:lineRule="exact"/>
              <w:ind w:left="0" w:right="0" w:firstLine="480" w:firstLineChars="200"/>
              <w:jc w:val="center"/>
              <w:rPr>
                <w:rFonts w:hint="eastAsia" w:ascii="仿宋_GB2312" w:eastAsia="仿宋_GB2312" w:cs="仿宋_GB2312"/>
                <w:sz w:val="24"/>
                <w:szCs w:val="24"/>
                <w:bdr w:val="none" w:color="auto" w:sz="0" w:space="0"/>
                <w:lang w:val="en-US"/>
              </w:rPr>
            </w:pPr>
          </w:p>
          <w:p>
            <w:pPr>
              <w:keepNext w:val="0"/>
              <w:keepLines w:val="0"/>
              <w:widowControl w:val="0"/>
              <w:suppressLineNumbers w:val="0"/>
              <w:spacing w:before="0" w:beforeAutospacing="0" w:after="0" w:afterAutospacing="0" w:line="30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firstLine="480" w:firstLineChars="200"/>
              <w:jc w:val="both"/>
              <w:rPr>
                <w:rFonts w:hint="eastAsia" w:ascii="仿宋_GB2312" w:eastAsia="仿宋_GB2312" w:cs="仿宋_GB2312"/>
                <w:color w:val="FF0000"/>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此条款由城市管理行政执法部门行使处罚权。</w:t>
            </w:r>
            <w:r>
              <w:rPr>
                <w:rFonts w:hint="eastAsia" w:ascii="仿宋_GB2312" w:hAnsi="Calibri" w:eastAsia="仿宋_GB2312" w:cs="仿宋_GB2312"/>
                <w:color w:val="FF0000"/>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300" w:lineRule="exact"/>
              <w:ind w:left="0" w:right="0" w:firstLine="480" w:firstLineChars="200"/>
              <w:jc w:val="both"/>
              <w:rPr>
                <w:rFonts w:hint="eastAsia" w:ascii="仿宋_GB2312" w:eastAsia="仿宋_GB2312" w:cs="仿宋_GB2312"/>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4</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第七十七条</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违反本法规定，建设单位、施工单位有下列行为之一，由工程所在地人民政府指定的部门责令改正，处一万元以上十万元以下的罚款；拒不改正的，可以责令暂停施工：</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㈠超过噪声排放标准排放建筑施工噪声的；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㈡未按照规定取得证明，在噪声敏感建筑物集中区域夜间进行产生噪声的建筑施工作业的。</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此条款由城市管理行政执法部门行使处罚权。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5</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第七十八条</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违反本法规定，有下列行为之一，由工程所在地人民政府指定的部门责令改正，处五千元以上五万元以下的罚款；拒不改正的，处五万元以上二十万元以下的罚款：</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㈠建设单位未按照规定将噪声污染防治费用列入工程造价的；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㈡施工单位未按照规定制定噪声污染防治实施方案，或者未采取有效措施减少振动、降低噪声的；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㈢在噪声敏感建筑物集中区域施工作业的建设单位未按照国家规定设置噪声自动监测系统，未与监督管理部门联网，或者未保存原始监测记录的；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㈣因特殊需要必须连续施工作业，建设单位未按照规定公告附近居民的。</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此条第一项、第二项由建设、市政园林、港口、水利、交通运输等各类工程的建设行政主管部门行使处罚权；第三项、第四项由城市管理行政执法部门行使处罚权。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6</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第八十一条</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违反本法规定，有下列行为之一，由地方人民政府指定的部门责令改正，处五千元以上五万元以下的罚款；拒不改正的，处五万元以上二十万元以下的罚款，并可以报经有批准权的人民政府批准，责令停业：</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㈠超过噪声排放标准排放社会生活噪声的；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㈡在商业经营活动中使用高音广播喇叭或者采用其他持续反复发出高噪声的方法进行广告宣传的；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㈢未对商业经营活动中产生的其他噪声采取有效措施造成噪声污染的。</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一项、第三项涉及到本法第六十一条、第六十二条内容的，其中在商业经营活动中（餐饮、娱乐业除外）使用空调器、冷却塔、风机、发电机等噪声超标的，由生态环境主管部门行使处罚权，娱乐场所超时经营的，由文旅部门行使处罚权，除以上情形外，由城市管理行政执法部门行使处罚权；第二项由公安部门行使处罚权。</w:t>
            </w:r>
          </w:p>
          <w:p>
            <w:pPr>
              <w:keepNext w:val="0"/>
              <w:keepLines w:val="0"/>
              <w:widowControl w:val="0"/>
              <w:suppressLineNumbers w:val="0"/>
              <w:spacing w:before="0" w:beforeAutospacing="0" w:after="0" w:afterAutospacing="0" w:line="300" w:lineRule="exact"/>
              <w:ind w:left="0" w:right="0" w:firstLine="480" w:firstLineChars="200"/>
              <w:jc w:val="both"/>
              <w:rPr>
                <w:rFonts w:hint="eastAsia" w:ascii="仿宋_GB2312" w:eastAsia="仿宋_GB2312" w:cs="仿宋_GB2312"/>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5"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7</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第八十二条</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违反本法规定，有下列行为之一，由地方人民政府指定的部门说服教育，责令改正；拒不改正的，给予警告，对个人可以处二百元以上一千元以下的罚款，对单位可以处二千元以上二万元以下的罚款：</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㈠在噪声敏感建筑物集中区域使用高音广播喇叭的；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㈡在公共场所组织或者开展娱乐、健身等活动，未遵守公共场所管理者有关活动区域、时段、音量等规定，未采取有效措施造成噪声污染，或者违反规定使用音响器材产生过大音量的；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㈢对已竣工交付使用的建筑物进行室内装修活动，未按照规定在限定的作业时间内进行，或者未采取有效措施造成噪声污染的；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㈣其他违反法律规定造成社会生活噪声污染的。</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此条第一项、第二项由公安部门行使处罚权；第三项由城市管理行政执法部门行使处罚权。</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color w:val="FF0000"/>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 xml:space="preserve">第四项涉及本法第六十五条内容的由公安机关行使处罚权，除此之外的由城市管理行政执法部门行使处罚权。 </w:t>
            </w:r>
          </w:p>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8</w:t>
            </w:r>
          </w:p>
        </w:tc>
        <w:tc>
          <w:tcPr>
            <w:tcW w:w="11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第八十四条</w:t>
            </w:r>
          </w:p>
        </w:tc>
        <w:tc>
          <w:tcPr>
            <w:tcW w:w="6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违反本法规定，有下列行为之一，由地方人民政府指定的部门责令改正，处五千元以上五万元以下的罚款；拒不改正的，处五万元以上二十万元以下的罚款：</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㈠居民住宅区安装共用设施设备，设置不合理或者未采取减少振动、降低噪声的措施，不符合民用建筑隔声设计相关标准要求的；</w:t>
            </w:r>
          </w:p>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㈡对已建成使用的居民住宅区共用设施设备，专业运营单位未进行维护管理，不符合民用建筑隔声设计相关标准要求的。</w:t>
            </w:r>
          </w:p>
        </w:tc>
        <w:tc>
          <w:tcPr>
            <w:tcW w:w="54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firstLine="480" w:firstLineChars="200"/>
              <w:jc w:val="both"/>
              <w:rPr>
                <w:rFonts w:hint="eastAsia" w:ascii="仿宋_GB2312" w:eastAsia="仿宋_GB2312" w:cs="仿宋_GB2312"/>
                <w:sz w:val="24"/>
                <w:szCs w:val="24"/>
                <w:bdr w:val="none" w:color="auto" w:sz="0" w:space="0"/>
                <w:lang w:val="en-US"/>
              </w:rPr>
            </w:pPr>
            <w:r>
              <w:rPr>
                <w:rFonts w:hint="eastAsia" w:ascii="仿宋_GB2312" w:hAnsi="Calibri" w:eastAsia="仿宋_GB2312" w:cs="仿宋_GB2312"/>
                <w:kern w:val="2"/>
                <w:sz w:val="24"/>
                <w:szCs w:val="24"/>
                <w:bdr w:val="none" w:color="auto" w:sz="0" w:space="0"/>
                <w:lang w:val="en-US" w:eastAsia="zh-CN" w:bidi="ar"/>
              </w:rPr>
              <w:t>其中涉及电梯等特种设备产品质量问题引起的噪声污染，由市场监督管理部门行使处罚权；其余由城市管理行政执法部门行使处罚权。</w:t>
            </w:r>
          </w:p>
        </w:tc>
      </w:tr>
    </w:tbl>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lang w:val="en-US"/>
        </w:rPr>
      </w:pPr>
    </w:p>
    <w:p/>
    <w:sectPr>
      <w:pgSz w:w="15840" w:h="12240" w:orient="landscape"/>
      <w:pgMar w:top="1800" w:right="1440" w:bottom="1800" w:left="144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华文中宋">
    <w:panose1 w:val="02010600040101010101"/>
    <w:charset w:val="86"/>
    <w:family w:val="auto"/>
    <w:pitch w:val="variable"/>
    <w:sig w:usb0="00000287" w:usb1="080F0000" w:usb2="00000000" w:usb3="00000000" w:csb0="0004009F" w:csb1="DFD7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21192"/>
    <w:rsid w:val="00873B7B"/>
    <w:rsid w:val="00CE4F79"/>
    <w:rsid w:val="01EA14D9"/>
    <w:rsid w:val="03280B4F"/>
    <w:rsid w:val="03743FFF"/>
    <w:rsid w:val="03C35EEA"/>
    <w:rsid w:val="03E075E0"/>
    <w:rsid w:val="04294944"/>
    <w:rsid w:val="04423CF3"/>
    <w:rsid w:val="04DD29BC"/>
    <w:rsid w:val="05091B77"/>
    <w:rsid w:val="055B383C"/>
    <w:rsid w:val="05943C6C"/>
    <w:rsid w:val="05C96FAD"/>
    <w:rsid w:val="064A7C8B"/>
    <w:rsid w:val="0802006E"/>
    <w:rsid w:val="09984680"/>
    <w:rsid w:val="09D10E95"/>
    <w:rsid w:val="09EF510A"/>
    <w:rsid w:val="0A794CF9"/>
    <w:rsid w:val="0B8B06EB"/>
    <w:rsid w:val="0BA44EC3"/>
    <w:rsid w:val="0C7A20C9"/>
    <w:rsid w:val="0D1B67D3"/>
    <w:rsid w:val="0D4D7D4F"/>
    <w:rsid w:val="0E78584A"/>
    <w:rsid w:val="0E8401A6"/>
    <w:rsid w:val="0F13299A"/>
    <w:rsid w:val="0F7C43E2"/>
    <w:rsid w:val="10FE3A7C"/>
    <w:rsid w:val="11477544"/>
    <w:rsid w:val="119C6706"/>
    <w:rsid w:val="138F53F1"/>
    <w:rsid w:val="147861E0"/>
    <w:rsid w:val="15BA6DD3"/>
    <w:rsid w:val="164F6599"/>
    <w:rsid w:val="18320F94"/>
    <w:rsid w:val="19AC4617"/>
    <w:rsid w:val="19EF7B67"/>
    <w:rsid w:val="1A2D22A8"/>
    <w:rsid w:val="1DEB2670"/>
    <w:rsid w:val="1EFB1F3A"/>
    <w:rsid w:val="204C7A19"/>
    <w:rsid w:val="20621025"/>
    <w:rsid w:val="20E04000"/>
    <w:rsid w:val="21F11AB4"/>
    <w:rsid w:val="226265CC"/>
    <w:rsid w:val="23734035"/>
    <w:rsid w:val="23A60E41"/>
    <w:rsid w:val="23D21192"/>
    <w:rsid w:val="24FC4C2F"/>
    <w:rsid w:val="25EA4CD7"/>
    <w:rsid w:val="265E20D8"/>
    <w:rsid w:val="267B6785"/>
    <w:rsid w:val="27E76DD9"/>
    <w:rsid w:val="28702EB0"/>
    <w:rsid w:val="2C22374A"/>
    <w:rsid w:val="2C827292"/>
    <w:rsid w:val="2D422FB5"/>
    <w:rsid w:val="2EA3604E"/>
    <w:rsid w:val="2F4159B7"/>
    <w:rsid w:val="315B549B"/>
    <w:rsid w:val="31742359"/>
    <w:rsid w:val="31DE1297"/>
    <w:rsid w:val="32A135A9"/>
    <w:rsid w:val="32FE4E22"/>
    <w:rsid w:val="33205919"/>
    <w:rsid w:val="341A75E6"/>
    <w:rsid w:val="346517F2"/>
    <w:rsid w:val="362E5411"/>
    <w:rsid w:val="378F1F68"/>
    <w:rsid w:val="3896428C"/>
    <w:rsid w:val="389C1892"/>
    <w:rsid w:val="38D34C0F"/>
    <w:rsid w:val="38FF47DB"/>
    <w:rsid w:val="39107B58"/>
    <w:rsid w:val="39110B6E"/>
    <w:rsid w:val="39681398"/>
    <w:rsid w:val="3B3509F9"/>
    <w:rsid w:val="3B6E4694"/>
    <w:rsid w:val="3C246CDD"/>
    <w:rsid w:val="3C7E32E7"/>
    <w:rsid w:val="3CEF709B"/>
    <w:rsid w:val="3F630DD9"/>
    <w:rsid w:val="3F852306"/>
    <w:rsid w:val="3FD11806"/>
    <w:rsid w:val="410E27B7"/>
    <w:rsid w:val="414F50EF"/>
    <w:rsid w:val="44C120D7"/>
    <w:rsid w:val="45CC4CF4"/>
    <w:rsid w:val="460A5AAC"/>
    <w:rsid w:val="462723B3"/>
    <w:rsid w:val="47637944"/>
    <w:rsid w:val="49976063"/>
    <w:rsid w:val="4B3A52FC"/>
    <w:rsid w:val="4CB16B51"/>
    <w:rsid w:val="4D017C79"/>
    <w:rsid w:val="4EBC524D"/>
    <w:rsid w:val="4F9655B2"/>
    <w:rsid w:val="4FC87C7D"/>
    <w:rsid w:val="4FF52AA1"/>
    <w:rsid w:val="508D3EA4"/>
    <w:rsid w:val="51756958"/>
    <w:rsid w:val="51BB2EF9"/>
    <w:rsid w:val="521F248F"/>
    <w:rsid w:val="52423512"/>
    <w:rsid w:val="527467F5"/>
    <w:rsid w:val="527A7DA6"/>
    <w:rsid w:val="52CB1F7B"/>
    <w:rsid w:val="5361125B"/>
    <w:rsid w:val="53CF1F9E"/>
    <w:rsid w:val="53FB7AF6"/>
    <w:rsid w:val="54041BC7"/>
    <w:rsid w:val="554151A8"/>
    <w:rsid w:val="55515B32"/>
    <w:rsid w:val="5684504B"/>
    <w:rsid w:val="56AF1467"/>
    <w:rsid w:val="584A63D8"/>
    <w:rsid w:val="59F2620A"/>
    <w:rsid w:val="5A3F01C0"/>
    <w:rsid w:val="5A9A2303"/>
    <w:rsid w:val="5AF75EF8"/>
    <w:rsid w:val="5D8F7D17"/>
    <w:rsid w:val="5E3201B8"/>
    <w:rsid w:val="5F256C35"/>
    <w:rsid w:val="61576039"/>
    <w:rsid w:val="636C11F9"/>
    <w:rsid w:val="63A9241C"/>
    <w:rsid w:val="65EC35BC"/>
    <w:rsid w:val="668938EC"/>
    <w:rsid w:val="68607963"/>
    <w:rsid w:val="69CA52A4"/>
    <w:rsid w:val="69DF7D1B"/>
    <w:rsid w:val="69F53A6F"/>
    <w:rsid w:val="6B2F4EE3"/>
    <w:rsid w:val="6D5E0AB9"/>
    <w:rsid w:val="6D6C0629"/>
    <w:rsid w:val="6E1137CD"/>
    <w:rsid w:val="6E5A127C"/>
    <w:rsid w:val="6F2A4015"/>
    <w:rsid w:val="6F863737"/>
    <w:rsid w:val="708125A8"/>
    <w:rsid w:val="708B24C1"/>
    <w:rsid w:val="72534E2F"/>
    <w:rsid w:val="73875042"/>
    <w:rsid w:val="74191166"/>
    <w:rsid w:val="7451637F"/>
    <w:rsid w:val="74890A80"/>
    <w:rsid w:val="75485299"/>
    <w:rsid w:val="763A22EE"/>
    <w:rsid w:val="76AF1151"/>
    <w:rsid w:val="76CD2937"/>
    <w:rsid w:val="771317F9"/>
    <w:rsid w:val="77A2117A"/>
    <w:rsid w:val="78331FB0"/>
    <w:rsid w:val="785C4E1E"/>
    <w:rsid w:val="78B9696B"/>
    <w:rsid w:val="78E86E4C"/>
    <w:rsid w:val="7A5F410C"/>
    <w:rsid w:val="7AE53B68"/>
    <w:rsid w:val="7AF3411F"/>
    <w:rsid w:val="7D445B72"/>
    <w:rsid w:val="7DE40508"/>
    <w:rsid w:val="7E067F72"/>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Indent 2"/>
    <w:basedOn w:val="1"/>
    <w:link w:val="5"/>
    <w:uiPriority w:val="0"/>
    <w:pPr>
      <w:spacing w:after="120" w:afterLines="0" w:afterAutospacing="0" w:line="480" w:lineRule="auto"/>
      <w:ind w:left="420" w:leftChars="200"/>
    </w:pPr>
  </w:style>
  <w:style w:type="character" w:customStyle="1" w:styleId="5">
    <w:name w:val="正文文本缩进 2 Char"/>
    <w:basedOn w:val="4"/>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2022-06-21T01:17:00Z</dcterms:created>
  <dc:creator>Administrator</dc:creator>
  <cp:lastModifiedBy>Administrator</cp:lastModifiedBy>
  <dcterms:modified xsi:type="dcterms:W3CDTF">2022-06-21T01:19:52Z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