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 w:val="32"/>
          <w:szCs w:val="32"/>
        </w:rPr>
      </w:pPr>
      <w:r>
        <w:rPr>
          <w:rFonts w:hint="eastAsia" w:ascii="黑体" w:hAnsi="黑体" w:eastAsia="黑体"/>
          <w:sz w:val="32"/>
          <w:szCs w:val="32"/>
        </w:rPr>
        <w:t>附件1</w:t>
      </w:r>
    </w:p>
    <w:p>
      <w:pPr>
        <w:spacing w:line="590" w:lineRule="exact"/>
        <w:rPr>
          <w:rFonts w:ascii="黑体" w:hAnsi="黑体" w:eastAsia="黑体"/>
          <w:sz w:val="32"/>
          <w:szCs w:val="32"/>
        </w:rPr>
      </w:pPr>
    </w:p>
    <w:p>
      <w:pPr>
        <w:spacing w:afterLines="100" w:line="590" w:lineRule="exact"/>
        <w:jc w:val="center"/>
        <w:rPr>
          <w:rFonts w:ascii="仿宋_GB2312" w:hAnsi="华文中宋" w:eastAsia="仿宋_GB2312"/>
          <w:b/>
          <w:sz w:val="30"/>
          <w:szCs w:val="30"/>
        </w:rPr>
      </w:pPr>
      <w:r>
        <w:rPr>
          <w:rFonts w:hint="eastAsia" w:ascii="方正小标宋简体" w:hAnsi="华文中宋" w:eastAsia="方正小标宋简体"/>
          <w:sz w:val="36"/>
          <w:szCs w:val="36"/>
        </w:rPr>
        <w:t>厦门市2022年重要地质灾害点一览表</w:t>
      </w:r>
    </w:p>
    <w:tbl>
      <w:tblPr>
        <w:tblStyle w:val="10"/>
        <w:tblW w:w="9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111"/>
        <w:gridCol w:w="825"/>
        <w:gridCol w:w="840"/>
        <w:gridCol w:w="795"/>
        <w:gridCol w:w="756"/>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序号</w:t>
            </w:r>
          </w:p>
        </w:tc>
        <w:tc>
          <w:tcPr>
            <w:tcW w:w="211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地    点</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灾种</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威胁对象</w:t>
            </w:r>
          </w:p>
        </w:tc>
        <w:tc>
          <w:tcPr>
            <w:tcW w:w="33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建议防治措施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ahoma" w:eastAsia="仿宋_GB2312"/>
                <w:sz w:val="28"/>
                <w:szCs w:val="28"/>
              </w:rPr>
            </w:pPr>
          </w:p>
        </w:tc>
        <w:tc>
          <w:tcPr>
            <w:tcW w:w="2111"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ahoma" w:eastAsia="仿宋_GB2312"/>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ahoma" w:eastAsia="仿宋_GB2312"/>
                <w:sz w:val="28"/>
                <w:szCs w:val="28"/>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520" w:lineRule="exact"/>
              <w:jc w:val="center"/>
              <w:rPr>
                <w:rFonts w:ascii="仿宋_GB2312" w:hAnsi="Tahoma" w:eastAsia="仿宋_GB2312"/>
                <w:sz w:val="28"/>
                <w:szCs w:val="28"/>
              </w:rPr>
            </w:pPr>
            <w:r>
              <w:rPr>
                <w:rFonts w:hint="eastAsia" w:ascii="仿宋_GB2312" w:eastAsia="仿宋_GB2312"/>
                <w:kern w:val="0"/>
                <w:sz w:val="28"/>
                <w:szCs w:val="28"/>
              </w:rPr>
              <w:t>人数</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520" w:lineRule="exact"/>
              <w:jc w:val="center"/>
              <w:rPr>
                <w:rFonts w:ascii="仿宋_GB2312" w:hAnsi="Tahoma" w:eastAsia="仿宋_GB2312"/>
                <w:sz w:val="28"/>
                <w:szCs w:val="28"/>
              </w:rPr>
            </w:pPr>
            <w:r>
              <w:rPr>
                <w:rFonts w:hint="eastAsia" w:ascii="仿宋_GB2312" w:eastAsia="仿宋_GB2312" w:cs="宋体"/>
                <w:sz w:val="28"/>
                <w:szCs w:val="28"/>
              </w:rPr>
              <w:t>户数</w:t>
            </w:r>
          </w:p>
        </w:tc>
        <w:tc>
          <w:tcPr>
            <w:tcW w:w="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520" w:lineRule="exact"/>
              <w:rPr>
                <w:rFonts w:ascii="仿宋_GB2312" w:hAnsi="Tahoma" w:eastAsia="仿宋_GB2312"/>
                <w:sz w:val="28"/>
                <w:szCs w:val="28"/>
              </w:rPr>
            </w:pPr>
            <w:r>
              <w:rPr>
                <w:rFonts w:hint="eastAsia" w:ascii="仿宋_GB2312" w:eastAsia="仿宋_GB2312"/>
                <w:spacing w:val="-6"/>
                <w:sz w:val="28"/>
                <w:szCs w:val="28"/>
              </w:rPr>
              <w:t>其他</w:t>
            </w:r>
          </w:p>
        </w:tc>
        <w:tc>
          <w:tcPr>
            <w:tcW w:w="3350"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ahom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hAnsi="Tahoma" w:eastAsia="仿宋_GB2312"/>
                <w:sz w:val="28"/>
                <w:szCs w:val="28"/>
              </w:rPr>
            </w:pPr>
            <w:r>
              <w:rPr>
                <w:rFonts w:hint="eastAsia" w:ascii="仿宋_GB2312" w:eastAsia="仿宋_GB2312"/>
                <w:sz w:val="28"/>
                <w:szCs w:val="28"/>
              </w:rPr>
              <w:t>1</w:t>
            </w:r>
          </w:p>
        </w:tc>
        <w:tc>
          <w:tcPr>
            <w:tcW w:w="21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仿宋_GB2312" w:hAnsi="Tahoma" w:eastAsia="仿宋_GB2312"/>
                <w:sz w:val="28"/>
                <w:szCs w:val="28"/>
              </w:rPr>
            </w:pPr>
            <w:r>
              <w:rPr>
                <w:rFonts w:hint="eastAsia" w:ascii="仿宋_GB2312" w:eastAsia="仿宋_GB2312"/>
                <w:sz w:val="28"/>
                <w:szCs w:val="28"/>
              </w:rPr>
              <w:t>思明区鸿山公园双忠魂独立岩石</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危岩</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12人</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6户</w:t>
            </w:r>
          </w:p>
        </w:tc>
        <w:tc>
          <w:tcPr>
            <w:tcW w:w="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仿宋_GB2312" w:hAnsi="Tahoma" w:eastAsia="仿宋_GB2312"/>
                <w:sz w:val="28"/>
                <w:szCs w:val="28"/>
              </w:rPr>
            </w:pPr>
            <w:r>
              <w:rPr>
                <w:rFonts w:hint="eastAsia" w:ascii="仿宋_GB2312" w:eastAsia="仿宋_GB2312"/>
                <w:sz w:val="28"/>
                <w:szCs w:val="28"/>
              </w:rPr>
              <w:t>继续监测,</w:t>
            </w:r>
            <w:r>
              <w:rPr>
                <w:rFonts w:hint="eastAsia" w:ascii="仿宋_GB2312" w:eastAsia="仿宋_GB2312" w:cs="宋体"/>
                <w:sz w:val="28"/>
                <w:szCs w:val="28"/>
              </w:rPr>
              <w:t>发现险情转移避让，根据检测结果研究处置措施。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hAnsi="Tahoma" w:eastAsia="仿宋_GB2312"/>
                <w:sz w:val="28"/>
                <w:szCs w:val="28"/>
              </w:rPr>
            </w:pPr>
            <w:r>
              <w:rPr>
                <w:rFonts w:hint="eastAsia" w:ascii="仿宋_GB2312" w:eastAsia="仿宋_GB2312"/>
                <w:sz w:val="28"/>
                <w:szCs w:val="28"/>
              </w:rPr>
              <w:t>2</w:t>
            </w:r>
          </w:p>
        </w:tc>
        <w:tc>
          <w:tcPr>
            <w:tcW w:w="21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仿宋_GB2312" w:hAnsi="Tahoma" w:eastAsia="仿宋_GB2312"/>
                <w:sz w:val="28"/>
                <w:szCs w:val="28"/>
              </w:rPr>
            </w:pPr>
            <w:r>
              <w:rPr>
                <w:rFonts w:hint="eastAsia" w:ascii="仿宋_GB2312" w:eastAsia="仿宋_GB2312"/>
                <w:sz w:val="28"/>
                <w:szCs w:val="28"/>
              </w:rPr>
              <w:t>同安区莲花镇淡溪村下江里高志强等屋后</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崩塌</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22人</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4户</w:t>
            </w:r>
          </w:p>
        </w:tc>
        <w:tc>
          <w:tcPr>
            <w:tcW w:w="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仿宋_GB2312" w:hAnsi="Tahoma" w:eastAsia="仿宋_GB2312"/>
                <w:sz w:val="28"/>
                <w:szCs w:val="28"/>
              </w:rPr>
            </w:pPr>
            <w:r>
              <w:rPr>
                <w:rFonts w:hint="eastAsia" w:ascii="仿宋_GB2312" w:eastAsia="仿宋_GB2312"/>
                <w:sz w:val="28"/>
                <w:szCs w:val="28"/>
              </w:rPr>
              <w:t>整体搬迁。搬迁前继续监测</w:t>
            </w:r>
            <w:r>
              <w:rPr>
                <w:rFonts w:hint="eastAsia" w:ascii="仿宋_GB2312" w:eastAsia="仿宋_GB2312" w:cs="宋体"/>
                <w:sz w:val="28"/>
                <w:szCs w:val="28"/>
              </w:rPr>
              <w:t>,发现险情转移避让；遇台风暴雨转移避让。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hAnsi="Tahoma" w:eastAsia="仿宋_GB2312"/>
                <w:sz w:val="28"/>
                <w:szCs w:val="28"/>
              </w:rPr>
            </w:pPr>
            <w:r>
              <w:rPr>
                <w:rFonts w:hint="eastAsia" w:ascii="仿宋_GB2312" w:eastAsia="仿宋_GB2312"/>
                <w:sz w:val="28"/>
                <w:szCs w:val="28"/>
              </w:rPr>
              <w:t>3</w:t>
            </w:r>
          </w:p>
        </w:tc>
        <w:tc>
          <w:tcPr>
            <w:tcW w:w="21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仿宋_GB2312" w:hAnsi="Tahoma" w:eastAsia="仿宋_GB2312"/>
                <w:sz w:val="28"/>
                <w:szCs w:val="28"/>
              </w:rPr>
            </w:pPr>
            <w:r>
              <w:rPr>
                <w:rFonts w:hint="eastAsia" w:ascii="仿宋_GB2312" w:eastAsia="仿宋_GB2312"/>
                <w:sz w:val="28"/>
                <w:szCs w:val="28"/>
              </w:rPr>
              <w:t>同安区莲花镇白交祠村杨荣德等屋后</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滑坡</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51人</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pacing w:val="-6"/>
                <w:sz w:val="28"/>
                <w:szCs w:val="28"/>
              </w:rPr>
              <w:t>12户</w:t>
            </w:r>
          </w:p>
        </w:tc>
        <w:tc>
          <w:tcPr>
            <w:tcW w:w="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仿宋_GB2312" w:hAnsi="Tahoma" w:eastAsia="仿宋_GB2312"/>
                <w:sz w:val="28"/>
                <w:szCs w:val="28"/>
              </w:rPr>
            </w:pPr>
            <w:r>
              <w:rPr>
                <w:rFonts w:hint="eastAsia" w:ascii="仿宋_GB2312" w:eastAsia="仿宋_GB2312"/>
                <w:sz w:val="28"/>
                <w:szCs w:val="28"/>
              </w:rPr>
              <w:t>搬迁避让。搬迁前继续监测</w:t>
            </w:r>
            <w:r>
              <w:rPr>
                <w:rFonts w:hint="eastAsia" w:ascii="仿宋_GB2312" w:eastAsia="仿宋_GB2312" w:cs="宋体"/>
                <w:sz w:val="28"/>
                <w:szCs w:val="28"/>
              </w:rPr>
              <w:t>,发现险情转移避让；遇台风暴雨转移避让。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hAnsi="Tahoma" w:eastAsia="仿宋_GB2312"/>
                <w:sz w:val="28"/>
                <w:szCs w:val="28"/>
              </w:rPr>
            </w:pPr>
            <w:r>
              <w:rPr>
                <w:rFonts w:hint="eastAsia" w:ascii="仿宋_GB2312" w:eastAsia="仿宋_GB2312"/>
                <w:sz w:val="28"/>
                <w:szCs w:val="28"/>
              </w:rPr>
              <w:t>4</w:t>
            </w:r>
          </w:p>
        </w:tc>
        <w:tc>
          <w:tcPr>
            <w:tcW w:w="21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仿宋_GB2312" w:hAnsi="Tahoma" w:eastAsia="仿宋_GB2312"/>
                <w:sz w:val="28"/>
                <w:szCs w:val="28"/>
              </w:rPr>
            </w:pPr>
            <w:r>
              <w:rPr>
                <w:rFonts w:hint="eastAsia" w:ascii="仿宋_GB2312" w:eastAsia="仿宋_GB2312"/>
                <w:sz w:val="28"/>
                <w:szCs w:val="28"/>
              </w:rPr>
              <w:t>同安区莲花镇西坑村连远树等屋后</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不稳定斜坡</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22人</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4户</w:t>
            </w:r>
          </w:p>
        </w:tc>
        <w:tc>
          <w:tcPr>
            <w:tcW w:w="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仿宋_GB2312" w:hAnsi="Tahoma" w:eastAsia="仿宋_GB2312"/>
                <w:sz w:val="28"/>
                <w:szCs w:val="28"/>
              </w:rPr>
            </w:pPr>
            <w:r>
              <w:rPr>
                <w:rFonts w:hint="eastAsia" w:ascii="仿宋_GB2312" w:eastAsia="仿宋_GB2312"/>
                <w:sz w:val="28"/>
                <w:szCs w:val="28"/>
              </w:rPr>
              <w:t>整体搬迁。搬迁前继续监测</w:t>
            </w:r>
            <w:r>
              <w:rPr>
                <w:rFonts w:hint="eastAsia" w:ascii="仿宋_GB2312" w:eastAsia="仿宋_GB2312" w:cs="宋体"/>
                <w:sz w:val="28"/>
                <w:szCs w:val="28"/>
              </w:rPr>
              <w:t>,发现险情转移避让；遇台风暴雨转移避让。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5</w:t>
            </w:r>
          </w:p>
        </w:tc>
        <w:tc>
          <w:tcPr>
            <w:tcW w:w="21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仿宋_GB2312" w:hAnsi="Tahoma" w:eastAsia="仿宋_GB2312"/>
                <w:sz w:val="28"/>
                <w:szCs w:val="28"/>
              </w:rPr>
            </w:pPr>
            <w:r>
              <w:rPr>
                <w:rFonts w:hint="eastAsia" w:ascii="仿宋_GB2312" w:eastAsia="仿宋_GB2312"/>
                <w:sz w:val="28"/>
                <w:szCs w:val="28"/>
              </w:rPr>
              <w:t>同安区莲花镇淡溪村下江里高成足屋后</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不稳定斜坡</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26人</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5户</w:t>
            </w:r>
          </w:p>
        </w:tc>
        <w:tc>
          <w:tcPr>
            <w:tcW w:w="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仿宋_GB2312" w:hAnsi="Tahoma" w:eastAsia="仿宋_GB2312"/>
                <w:sz w:val="28"/>
                <w:szCs w:val="28"/>
              </w:rPr>
            </w:pPr>
            <w:r>
              <w:rPr>
                <w:rFonts w:hint="eastAsia" w:ascii="仿宋_GB2312" w:eastAsia="仿宋_GB2312"/>
                <w:sz w:val="28"/>
                <w:szCs w:val="28"/>
              </w:rPr>
              <w:t>整体搬迁。搬迁前继续监测</w:t>
            </w:r>
            <w:r>
              <w:rPr>
                <w:rFonts w:hint="eastAsia" w:ascii="仿宋_GB2312" w:eastAsia="仿宋_GB2312" w:cs="宋体"/>
                <w:sz w:val="28"/>
                <w:szCs w:val="28"/>
              </w:rPr>
              <w:t>,发现险情转移避让；遇台风暴雨转移避让。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left"/>
              <w:rPr>
                <w:rFonts w:ascii="仿宋_GB2312" w:eastAsia="仿宋_GB2312"/>
                <w:sz w:val="28"/>
                <w:szCs w:val="28"/>
              </w:rPr>
            </w:pPr>
            <w:r>
              <w:rPr>
                <w:rFonts w:hint="eastAsia" w:ascii="仿宋_GB2312" w:eastAsia="仿宋_GB2312"/>
                <w:sz w:val="28"/>
                <w:szCs w:val="28"/>
              </w:rPr>
              <w:t>6</w:t>
            </w:r>
          </w:p>
        </w:tc>
        <w:tc>
          <w:tcPr>
            <w:tcW w:w="21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left"/>
              <w:rPr>
                <w:rFonts w:ascii="仿宋_GB2312" w:eastAsia="仿宋_GB2312"/>
                <w:sz w:val="28"/>
                <w:szCs w:val="28"/>
              </w:rPr>
            </w:pPr>
            <w:r>
              <w:rPr>
                <w:rFonts w:hint="eastAsia" w:ascii="仿宋_GB2312" w:eastAsia="仿宋_GB2312"/>
                <w:spacing w:val="-6"/>
                <w:sz w:val="28"/>
                <w:szCs w:val="28"/>
              </w:rPr>
              <w:t>同安区莲花镇白交祠村大石后社杨玉环屋后</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left"/>
              <w:rPr>
                <w:rFonts w:ascii="仿宋_GB2312" w:eastAsia="仿宋_GB2312"/>
                <w:sz w:val="28"/>
                <w:szCs w:val="28"/>
              </w:rPr>
            </w:pPr>
            <w:r>
              <w:rPr>
                <w:rFonts w:hint="eastAsia" w:ascii="仿宋_GB2312" w:eastAsia="仿宋_GB2312"/>
                <w:sz w:val="28"/>
                <w:szCs w:val="28"/>
              </w:rPr>
              <w:t>崩塌</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8"/>
                <w:szCs w:val="28"/>
              </w:rPr>
            </w:pPr>
            <w:r>
              <w:rPr>
                <w:rFonts w:hint="eastAsia" w:ascii="仿宋_GB2312" w:eastAsia="仿宋_GB2312"/>
                <w:sz w:val="28"/>
                <w:szCs w:val="28"/>
              </w:rPr>
              <w:t>39人</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8"/>
                <w:szCs w:val="28"/>
              </w:rPr>
            </w:pPr>
            <w:r>
              <w:rPr>
                <w:rFonts w:hint="eastAsia" w:ascii="仿宋_GB2312" w:eastAsia="仿宋_GB2312"/>
                <w:sz w:val="28"/>
                <w:szCs w:val="28"/>
              </w:rPr>
              <w:t>5户</w:t>
            </w:r>
          </w:p>
        </w:tc>
        <w:tc>
          <w:tcPr>
            <w:tcW w:w="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left"/>
              <w:rPr>
                <w:rFonts w:ascii="仿宋_GB2312" w:eastAsia="仿宋_GB2312"/>
                <w:sz w:val="28"/>
                <w:szCs w:val="28"/>
              </w:rPr>
            </w:pP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left"/>
              <w:rPr>
                <w:rFonts w:ascii="仿宋_GB2312" w:eastAsia="仿宋_GB2312"/>
                <w:sz w:val="28"/>
                <w:szCs w:val="28"/>
              </w:rPr>
            </w:pPr>
            <w:r>
              <w:rPr>
                <w:rFonts w:hint="eastAsia" w:ascii="仿宋_GB2312" w:eastAsia="仿宋_GB2312"/>
                <w:sz w:val="28"/>
                <w:szCs w:val="28"/>
              </w:rPr>
              <w:t>搬迁避让。搬迁前继续监测,发现险情转移避让；遇台风暴雨转移避让。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7</w:t>
            </w:r>
          </w:p>
        </w:tc>
        <w:tc>
          <w:tcPr>
            <w:tcW w:w="21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仿宋_GB2312" w:hAnsi="Tahoma" w:eastAsia="仿宋_GB2312"/>
                <w:sz w:val="28"/>
                <w:szCs w:val="28"/>
              </w:rPr>
            </w:pPr>
            <w:r>
              <w:rPr>
                <w:rFonts w:hint="eastAsia" w:ascii="仿宋_GB2312" w:eastAsia="仿宋_GB2312"/>
                <w:sz w:val="28"/>
                <w:szCs w:val="28"/>
              </w:rPr>
              <w:t>同安区莲花镇淡溪村上江里高德胜屋后</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崩塌</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33人</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r>
              <w:rPr>
                <w:rFonts w:hint="eastAsia" w:ascii="仿宋_GB2312" w:eastAsia="仿宋_GB2312"/>
                <w:sz w:val="28"/>
                <w:szCs w:val="28"/>
              </w:rPr>
              <w:t>5户</w:t>
            </w:r>
          </w:p>
        </w:tc>
        <w:tc>
          <w:tcPr>
            <w:tcW w:w="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8"/>
                <w:szCs w:val="28"/>
              </w:rPr>
            </w:pP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仿宋_GB2312" w:hAnsi="Tahoma" w:eastAsia="仿宋_GB2312"/>
                <w:sz w:val="28"/>
                <w:szCs w:val="28"/>
              </w:rPr>
            </w:pPr>
            <w:r>
              <w:rPr>
                <w:rFonts w:hint="eastAsia" w:ascii="仿宋_GB2312" w:hAnsi="宋体" w:eastAsia="仿宋_GB2312" w:cs="宋体"/>
                <w:sz w:val="28"/>
                <w:szCs w:val="28"/>
              </w:rPr>
              <w:t>整体搬迁。搬迁前继续监测</w:t>
            </w:r>
            <w:r>
              <w:rPr>
                <w:rFonts w:hint="eastAsia" w:ascii="仿宋_GB2312" w:eastAsia="仿宋_GB2312" w:cs="宋体"/>
                <w:sz w:val="28"/>
                <w:szCs w:val="28"/>
              </w:rPr>
              <w:t>,</w:t>
            </w:r>
            <w:r>
              <w:rPr>
                <w:rFonts w:hint="eastAsia" w:ascii="仿宋_GB2312" w:hAnsi="宋体" w:eastAsia="仿宋_GB2312" w:cs="宋体"/>
                <w:sz w:val="28"/>
                <w:szCs w:val="28"/>
              </w:rPr>
              <w:t>发现险情转移避让；遇台风暴雨转移避让。</w:t>
            </w:r>
          </w:p>
        </w:tc>
      </w:tr>
    </w:tbl>
    <w:p>
      <w:pPr>
        <w:autoSpaceDN w:val="0"/>
        <w:spacing w:line="590" w:lineRule="exact"/>
        <w:rPr>
          <w:rFonts w:ascii="黑体" w:hAnsi="黑体" w:eastAsia="黑体"/>
          <w:sz w:val="32"/>
          <w:szCs w:val="32"/>
        </w:rPr>
      </w:pPr>
      <w:r>
        <w:rPr>
          <w:rFonts w:hint="eastAsia" w:ascii="黑体" w:hAnsi="黑体" w:eastAsia="黑体"/>
          <w:sz w:val="32"/>
          <w:szCs w:val="32"/>
        </w:rPr>
        <w:t>附件2</w:t>
      </w:r>
    </w:p>
    <w:p>
      <w:pPr>
        <w:pStyle w:val="2"/>
        <w:autoSpaceDN w:val="0"/>
        <w:adjustRightInd w:val="0"/>
        <w:spacing w:afterLines="100" w:line="590" w:lineRule="exact"/>
        <w:jc w:val="center"/>
        <w:rPr>
          <w:rFonts w:ascii="方正小标宋简体" w:hAnsi="华文中宋" w:eastAsia="方正小标宋简体"/>
          <w:kern w:val="0"/>
          <w:sz w:val="36"/>
          <w:szCs w:val="36"/>
        </w:rPr>
      </w:pPr>
    </w:p>
    <w:p>
      <w:pPr>
        <w:pStyle w:val="2"/>
        <w:autoSpaceDN w:val="0"/>
        <w:adjustRightInd w:val="0"/>
        <w:spacing w:afterLines="100" w:line="590" w:lineRule="exact"/>
        <w:jc w:val="center"/>
        <w:rPr>
          <w:rFonts w:ascii="仿宋_GB2312" w:hAnsi="华文中宋" w:eastAsia="仿宋_GB2312"/>
          <w:b/>
          <w:kern w:val="0"/>
          <w:sz w:val="30"/>
          <w:szCs w:val="30"/>
        </w:rPr>
      </w:pPr>
      <w:r>
        <w:rPr>
          <w:rFonts w:hint="eastAsia" w:ascii="方正小标宋简体" w:hAnsi="华文中宋" w:eastAsia="方正小标宋简体"/>
          <w:kern w:val="0"/>
          <w:sz w:val="36"/>
          <w:szCs w:val="36"/>
        </w:rPr>
        <w:t>厦门市2022年防范地质灾害重点对象表</w:t>
      </w:r>
    </w:p>
    <w:tbl>
      <w:tblPr>
        <w:tblStyle w:val="10"/>
        <w:tblW w:w="807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3"/>
        <w:gridCol w:w="2033"/>
        <w:gridCol w:w="52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bCs/>
                <w:sz w:val="28"/>
                <w:szCs w:val="28"/>
              </w:rPr>
            </w:pPr>
            <w:r>
              <w:rPr>
                <w:rFonts w:hint="eastAsia" w:ascii="仿宋_GB2312" w:eastAsia="仿宋_GB2312"/>
                <w:bCs/>
                <w:sz w:val="28"/>
                <w:szCs w:val="28"/>
              </w:rPr>
              <w:t>区</w:t>
            </w:r>
          </w:p>
        </w:tc>
        <w:tc>
          <w:tcPr>
            <w:tcW w:w="203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bCs/>
                <w:sz w:val="28"/>
                <w:szCs w:val="28"/>
              </w:rPr>
            </w:pPr>
            <w:r>
              <w:rPr>
                <w:rFonts w:hint="eastAsia" w:ascii="仿宋_GB2312" w:eastAsia="仿宋_GB2312"/>
                <w:bCs/>
                <w:sz w:val="28"/>
                <w:szCs w:val="28"/>
              </w:rPr>
              <w:t>镇（街）、单位</w:t>
            </w:r>
          </w:p>
        </w:tc>
        <w:tc>
          <w:tcPr>
            <w:tcW w:w="5214"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bCs/>
                <w:sz w:val="28"/>
                <w:szCs w:val="28"/>
              </w:rPr>
            </w:pPr>
            <w:r>
              <w:rPr>
                <w:rFonts w:hint="eastAsia" w:ascii="仿宋_GB2312" w:eastAsia="仿宋_GB2312"/>
                <w:bCs/>
                <w:sz w:val="28"/>
                <w:szCs w:val="28"/>
              </w:rPr>
              <w:t>行政村（社区）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84" w:hRule="exact"/>
          <w:jc w:val="center"/>
        </w:trPr>
        <w:tc>
          <w:tcPr>
            <w:tcW w:w="823" w:type="dxa"/>
            <w:vMerge w:val="restart"/>
            <w:tcBorders>
              <w:top w:val="single" w:color="auto" w:sz="4" w:space="0"/>
              <w:left w:val="single" w:color="auto" w:sz="4" w:space="0"/>
              <w:bottom w:val="nil"/>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同安</w:t>
            </w:r>
          </w:p>
        </w:tc>
        <w:tc>
          <w:tcPr>
            <w:tcW w:w="203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汀溪镇</w:t>
            </w:r>
          </w:p>
        </w:tc>
        <w:tc>
          <w:tcPr>
            <w:tcW w:w="5214"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前格村、路下村、造水村、半岭村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35" w:hRule="exact"/>
          <w:jc w:val="center"/>
        </w:trPr>
        <w:tc>
          <w:tcPr>
            <w:tcW w:w="823" w:type="dxa"/>
            <w:vMerge w:val="continue"/>
            <w:tcBorders>
              <w:top w:val="single" w:color="auto" w:sz="4" w:space="0"/>
              <w:left w:val="single" w:color="auto" w:sz="4" w:space="0"/>
              <w:bottom w:val="nil"/>
              <w:right w:val="single" w:color="auto" w:sz="4" w:space="0"/>
            </w:tcBorders>
            <w:vAlign w:val="center"/>
          </w:tcPr>
          <w:p>
            <w:pPr>
              <w:spacing w:line="590" w:lineRule="exact"/>
              <w:rPr>
                <w:rFonts w:ascii="仿宋_GB2312" w:hAnsi="宋体" w:eastAsia="仿宋_GB2312"/>
                <w:sz w:val="28"/>
                <w:szCs w:val="28"/>
              </w:rPr>
            </w:pPr>
          </w:p>
        </w:tc>
        <w:tc>
          <w:tcPr>
            <w:tcW w:w="203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莲花镇</w:t>
            </w:r>
          </w:p>
        </w:tc>
        <w:tc>
          <w:tcPr>
            <w:tcW w:w="5214"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淡溪村、西坑村、白交祠村、上陵村、尾林村、水洋村、军营村、罗溪村、蔗内村、小坪村、内田村、莲花村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5" w:hRule="exact"/>
          <w:jc w:val="center"/>
        </w:trPr>
        <w:tc>
          <w:tcPr>
            <w:tcW w:w="823" w:type="dxa"/>
            <w:vMerge w:val="restart"/>
            <w:tcBorders>
              <w:top w:val="single" w:color="auto" w:sz="4" w:space="0"/>
              <w:left w:val="single" w:color="auto" w:sz="4" w:space="0"/>
              <w:bottom w:val="nil"/>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翔安</w:t>
            </w:r>
          </w:p>
        </w:tc>
        <w:tc>
          <w:tcPr>
            <w:tcW w:w="203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hAnsi="宋体" w:eastAsia="仿宋_GB2312"/>
                <w:sz w:val="28"/>
                <w:szCs w:val="28"/>
              </w:rPr>
              <w:t>新圩镇</w:t>
            </w:r>
          </w:p>
        </w:tc>
        <w:tc>
          <w:tcPr>
            <w:tcW w:w="5214"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大帽山农场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3" w:hRule="exact"/>
          <w:jc w:val="center"/>
        </w:trPr>
        <w:tc>
          <w:tcPr>
            <w:tcW w:w="823" w:type="dxa"/>
            <w:vMerge w:val="continue"/>
            <w:tcBorders>
              <w:top w:val="single" w:color="auto" w:sz="4" w:space="0"/>
              <w:left w:val="single" w:color="auto" w:sz="4" w:space="0"/>
              <w:bottom w:val="nil"/>
              <w:right w:val="single" w:color="auto" w:sz="4" w:space="0"/>
            </w:tcBorders>
            <w:vAlign w:val="center"/>
          </w:tcPr>
          <w:p>
            <w:pPr>
              <w:spacing w:line="590" w:lineRule="exact"/>
              <w:rPr>
                <w:rFonts w:ascii="仿宋_GB2312" w:hAnsi="宋体" w:eastAsia="仿宋_GB2312"/>
                <w:sz w:val="28"/>
                <w:szCs w:val="28"/>
              </w:rPr>
            </w:pPr>
          </w:p>
        </w:tc>
        <w:tc>
          <w:tcPr>
            <w:tcW w:w="203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凤翔街道</w:t>
            </w:r>
          </w:p>
        </w:tc>
        <w:tc>
          <w:tcPr>
            <w:tcW w:w="5214"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琼头社区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94" w:hRule="exact"/>
          <w:jc w:val="center"/>
        </w:trPr>
        <w:tc>
          <w:tcPr>
            <w:tcW w:w="823" w:type="dxa"/>
            <w:vMerge w:val="continue"/>
            <w:tcBorders>
              <w:top w:val="single" w:color="auto" w:sz="4" w:space="0"/>
              <w:left w:val="single" w:color="auto" w:sz="4" w:space="0"/>
              <w:bottom w:val="nil"/>
              <w:right w:val="single" w:color="auto" w:sz="4" w:space="0"/>
            </w:tcBorders>
            <w:vAlign w:val="center"/>
          </w:tcPr>
          <w:p>
            <w:pPr>
              <w:spacing w:line="590" w:lineRule="exact"/>
              <w:rPr>
                <w:rFonts w:ascii="仿宋_GB2312" w:hAnsi="宋体" w:eastAsia="仿宋_GB2312"/>
                <w:sz w:val="28"/>
                <w:szCs w:val="28"/>
              </w:rPr>
            </w:pPr>
          </w:p>
        </w:tc>
        <w:tc>
          <w:tcPr>
            <w:tcW w:w="203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内厝镇</w:t>
            </w:r>
          </w:p>
        </w:tc>
        <w:tc>
          <w:tcPr>
            <w:tcW w:w="5214"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许厝村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4" w:hRule="exac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海沧</w:t>
            </w:r>
          </w:p>
        </w:tc>
        <w:tc>
          <w:tcPr>
            <w:tcW w:w="203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Tahoma" w:eastAsia="仿宋_GB2312"/>
                <w:sz w:val="28"/>
                <w:szCs w:val="28"/>
              </w:rPr>
            </w:pPr>
            <w:r>
              <w:rPr>
                <w:rFonts w:hint="eastAsia" w:ascii="仿宋_GB2312" w:eastAsia="仿宋_GB2312"/>
                <w:sz w:val="28"/>
                <w:szCs w:val="28"/>
              </w:rPr>
              <w:t>嵩屿街道</w:t>
            </w:r>
          </w:p>
        </w:tc>
        <w:tc>
          <w:tcPr>
            <w:tcW w:w="5214"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Tahoma" w:eastAsia="仿宋_GB2312"/>
                <w:sz w:val="28"/>
                <w:szCs w:val="28"/>
              </w:rPr>
            </w:pPr>
            <w:r>
              <w:rPr>
                <w:rFonts w:hint="eastAsia" w:ascii="仿宋_GB2312" w:hAnsi="宋体" w:eastAsia="仿宋_GB2312"/>
                <w:sz w:val="28"/>
                <w:szCs w:val="28"/>
              </w:rPr>
              <w:t>鳌冠社区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4" w:hRule="exac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Tahoma" w:eastAsia="仿宋_GB2312"/>
                <w:sz w:val="28"/>
                <w:szCs w:val="28"/>
              </w:rPr>
            </w:pPr>
            <w:r>
              <w:rPr>
                <w:rFonts w:hint="eastAsia" w:ascii="仿宋_GB2312" w:eastAsia="仿宋_GB2312"/>
                <w:color w:val="000000"/>
                <w:sz w:val="28"/>
                <w:szCs w:val="28"/>
              </w:rPr>
              <w:t>集美</w:t>
            </w:r>
          </w:p>
        </w:tc>
        <w:tc>
          <w:tcPr>
            <w:tcW w:w="203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Tahoma" w:eastAsia="仿宋_GB2312"/>
                <w:sz w:val="28"/>
                <w:szCs w:val="28"/>
              </w:rPr>
            </w:pPr>
            <w:r>
              <w:rPr>
                <w:rFonts w:hint="eastAsia" w:ascii="仿宋_GB2312" w:eastAsia="仿宋_GB2312"/>
                <w:sz w:val="28"/>
                <w:szCs w:val="28"/>
              </w:rPr>
              <w:t>后溪镇</w:t>
            </w:r>
          </w:p>
        </w:tc>
        <w:tc>
          <w:tcPr>
            <w:tcW w:w="5214" w:type="dxa"/>
            <w:tcBorders>
              <w:top w:val="single" w:color="auto" w:sz="4" w:space="0"/>
              <w:left w:val="single" w:color="auto" w:sz="4" w:space="0"/>
              <w:bottom w:val="single" w:color="auto" w:sz="4" w:space="0"/>
              <w:right w:val="single" w:color="auto" w:sz="4" w:space="0"/>
            </w:tcBorders>
            <w:vAlign w:val="bottom"/>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二农社区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97" w:hRule="exac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湖里</w:t>
            </w:r>
          </w:p>
        </w:tc>
        <w:tc>
          <w:tcPr>
            <w:tcW w:w="203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湖里街道</w:t>
            </w:r>
          </w:p>
        </w:tc>
        <w:tc>
          <w:tcPr>
            <w:tcW w:w="5214"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村里社区、金鼎社区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823" w:type="dxa"/>
            <w:vMerge w:val="restart"/>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思明</w:t>
            </w:r>
          </w:p>
        </w:tc>
        <w:tc>
          <w:tcPr>
            <w:tcW w:w="203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区市政园林局</w:t>
            </w:r>
          </w:p>
        </w:tc>
        <w:tc>
          <w:tcPr>
            <w:tcW w:w="5214" w:type="dxa"/>
            <w:tcBorders>
              <w:top w:val="single" w:color="auto" w:sz="4" w:space="0"/>
              <w:left w:val="single" w:color="auto" w:sz="4" w:space="0"/>
              <w:bottom w:val="single" w:color="auto" w:sz="4" w:space="0"/>
              <w:right w:val="single" w:color="auto" w:sz="4" w:space="0"/>
            </w:tcBorders>
            <w:vAlign w:val="bottom"/>
          </w:tcPr>
          <w:p>
            <w:pPr>
              <w:autoSpaceDN w:val="0"/>
              <w:adjustRightInd w:val="0"/>
              <w:snapToGrid w:val="0"/>
              <w:spacing w:after="200" w:line="590" w:lineRule="exact"/>
              <w:jc w:val="center"/>
              <w:rPr>
                <w:rFonts w:ascii="仿宋_GB2312" w:hAnsi="宋体" w:eastAsia="仿宋_GB2312"/>
                <w:sz w:val="28"/>
                <w:szCs w:val="28"/>
              </w:rPr>
            </w:pPr>
            <w:r>
              <w:rPr>
                <w:rFonts w:hint="eastAsia" w:ascii="仿宋_GB2312" w:eastAsia="仿宋_GB2312"/>
                <w:sz w:val="28"/>
                <w:szCs w:val="28"/>
              </w:rPr>
              <w:t>狐尾山公园、鸿山公园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spacing w:line="590" w:lineRule="exact"/>
              <w:rPr>
                <w:rFonts w:ascii="仿宋_GB2312" w:hAnsi="宋体" w:eastAsia="仿宋_GB2312"/>
                <w:sz w:val="28"/>
                <w:szCs w:val="28"/>
              </w:rPr>
            </w:pPr>
          </w:p>
        </w:tc>
        <w:tc>
          <w:tcPr>
            <w:tcW w:w="203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Tahoma" w:eastAsia="仿宋_GB2312"/>
                <w:sz w:val="28"/>
                <w:szCs w:val="28"/>
              </w:rPr>
            </w:pPr>
            <w:r>
              <w:rPr>
                <w:rFonts w:hint="eastAsia" w:ascii="仿宋_GB2312" w:eastAsia="仿宋_GB2312"/>
                <w:sz w:val="28"/>
                <w:szCs w:val="28"/>
              </w:rPr>
              <w:t>莲前街道</w:t>
            </w:r>
          </w:p>
        </w:tc>
        <w:tc>
          <w:tcPr>
            <w:tcW w:w="5214" w:type="dxa"/>
            <w:tcBorders>
              <w:top w:val="single" w:color="auto" w:sz="4" w:space="0"/>
              <w:left w:val="single" w:color="auto" w:sz="4" w:space="0"/>
              <w:bottom w:val="single" w:color="auto" w:sz="4" w:space="0"/>
              <w:right w:val="single" w:color="auto" w:sz="4" w:space="0"/>
            </w:tcBorders>
            <w:vAlign w:val="bottom"/>
          </w:tcPr>
          <w:p>
            <w:pPr>
              <w:autoSpaceDN w:val="0"/>
              <w:adjustRightInd w:val="0"/>
              <w:snapToGrid w:val="0"/>
              <w:spacing w:after="200" w:line="590" w:lineRule="exact"/>
              <w:jc w:val="center"/>
              <w:rPr>
                <w:rFonts w:ascii="仿宋_GB2312" w:hAnsi="Tahoma" w:eastAsia="仿宋_GB2312"/>
                <w:sz w:val="28"/>
                <w:szCs w:val="28"/>
              </w:rPr>
            </w:pPr>
            <w:r>
              <w:rPr>
                <w:rFonts w:hint="eastAsia" w:ascii="仿宋_GB2312" w:eastAsia="仿宋_GB2312"/>
                <w:sz w:val="28"/>
                <w:szCs w:val="28"/>
              </w:rPr>
              <w:t>西林社区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spacing w:line="590" w:lineRule="exact"/>
              <w:rPr>
                <w:rFonts w:ascii="仿宋_GB2312" w:hAnsi="宋体" w:eastAsia="仿宋_GB2312"/>
                <w:sz w:val="28"/>
                <w:szCs w:val="28"/>
              </w:rPr>
            </w:pPr>
          </w:p>
        </w:tc>
        <w:tc>
          <w:tcPr>
            <w:tcW w:w="203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Tahoma" w:eastAsia="仿宋_GB2312"/>
                <w:sz w:val="28"/>
                <w:szCs w:val="28"/>
              </w:rPr>
            </w:pPr>
            <w:r>
              <w:rPr>
                <w:rFonts w:hint="eastAsia" w:ascii="仿宋_GB2312" w:eastAsia="仿宋_GB2312"/>
                <w:sz w:val="28"/>
                <w:szCs w:val="28"/>
              </w:rPr>
              <w:t>开元街道</w:t>
            </w:r>
          </w:p>
        </w:tc>
        <w:tc>
          <w:tcPr>
            <w:tcW w:w="5214" w:type="dxa"/>
            <w:tcBorders>
              <w:top w:val="single" w:color="auto" w:sz="4" w:space="0"/>
              <w:left w:val="single" w:color="auto" w:sz="4" w:space="0"/>
              <w:bottom w:val="single" w:color="auto" w:sz="4" w:space="0"/>
              <w:right w:val="single" w:color="auto" w:sz="4" w:space="0"/>
            </w:tcBorders>
            <w:vAlign w:val="bottom"/>
          </w:tcPr>
          <w:p>
            <w:pPr>
              <w:autoSpaceDN w:val="0"/>
              <w:adjustRightInd w:val="0"/>
              <w:snapToGrid w:val="0"/>
              <w:spacing w:after="200" w:line="590" w:lineRule="exact"/>
              <w:jc w:val="center"/>
              <w:rPr>
                <w:rFonts w:ascii="仿宋_GB2312" w:hAnsi="Tahoma" w:eastAsia="仿宋_GB2312"/>
                <w:sz w:val="28"/>
                <w:szCs w:val="28"/>
              </w:rPr>
            </w:pPr>
            <w:r>
              <w:rPr>
                <w:rFonts w:hint="eastAsia" w:ascii="仿宋_GB2312" w:eastAsia="仿宋_GB2312"/>
                <w:sz w:val="28"/>
                <w:szCs w:val="28"/>
              </w:rPr>
              <w:t>虎溪社区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90" w:hRule="atLeast"/>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spacing w:line="590" w:lineRule="exact"/>
              <w:rPr>
                <w:rFonts w:ascii="仿宋_GB2312" w:hAnsi="宋体" w:eastAsia="仿宋_GB2312"/>
                <w:sz w:val="28"/>
                <w:szCs w:val="28"/>
              </w:rPr>
            </w:pPr>
          </w:p>
        </w:tc>
        <w:tc>
          <w:tcPr>
            <w:tcW w:w="203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after="200" w:line="590" w:lineRule="exact"/>
              <w:jc w:val="center"/>
              <w:rPr>
                <w:rFonts w:ascii="仿宋_GB2312" w:hAnsi="Tahoma" w:eastAsia="仿宋_GB2312"/>
                <w:sz w:val="28"/>
                <w:szCs w:val="28"/>
              </w:rPr>
            </w:pPr>
            <w:r>
              <w:rPr>
                <w:rFonts w:hint="eastAsia" w:ascii="宋体" w:hAnsi="宋体" w:cs="宋体"/>
                <w:sz w:val="28"/>
                <w:szCs w:val="28"/>
              </w:rPr>
              <w:t>筼筜</w:t>
            </w:r>
            <w:r>
              <w:rPr>
                <w:rFonts w:hint="eastAsia" w:ascii="仿宋_GB2312" w:hAnsi="仿宋_GB2312" w:eastAsia="仿宋_GB2312" w:cs="仿宋_GB2312"/>
                <w:sz w:val="28"/>
                <w:szCs w:val="28"/>
              </w:rPr>
              <w:t>街道</w:t>
            </w:r>
          </w:p>
        </w:tc>
        <w:tc>
          <w:tcPr>
            <w:tcW w:w="5214" w:type="dxa"/>
            <w:tcBorders>
              <w:top w:val="single" w:color="auto" w:sz="4" w:space="0"/>
              <w:left w:val="single" w:color="auto" w:sz="4" w:space="0"/>
              <w:bottom w:val="single" w:color="auto" w:sz="4" w:space="0"/>
              <w:right w:val="single" w:color="auto" w:sz="4" w:space="0"/>
            </w:tcBorders>
            <w:vAlign w:val="bottom"/>
          </w:tcPr>
          <w:p>
            <w:pPr>
              <w:autoSpaceDN w:val="0"/>
              <w:adjustRightInd w:val="0"/>
              <w:snapToGrid w:val="0"/>
              <w:spacing w:after="200" w:line="590" w:lineRule="exact"/>
              <w:jc w:val="center"/>
              <w:rPr>
                <w:rFonts w:ascii="仿宋_GB2312" w:hAnsi="Tahoma" w:eastAsia="仿宋_GB2312"/>
                <w:sz w:val="28"/>
                <w:szCs w:val="28"/>
              </w:rPr>
            </w:pPr>
            <w:r>
              <w:rPr>
                <w:rFonts w:hint="eastAsia" w:ascii="仿宋_GB2312" w:eastAsia="仿宋_GB2312"/>
                <w:sz w:val="28"/>
                <w:szCs w:val="28"/>
              </w:rPr>
              <w:t>仙岳社区</w:t>
            </w:r>
          </w:p>
        </w:tc>
      </w:tr>
    </w:tbl>
    <w:p>
      <w:pPr>
        <w:spacing w:line="590" w:lineRule="exact"/>
        <w:rPr>
          <w:rFonts w:ascii="Tahoma" w:hAnsi="Tahoma" w:eastAsia="微软雅黑"/>
          <w:kern w:val="0"/>
          <w:sz w:val="22"/>
          <w:szCs w:val="22"/>
        </w:rPr>
      </w:pPr>
    </w:p>
    <w:p>
      <w:pPr>
        <w:spacing w:line="590" w:lineRule="exact"/>
        <w:outlineLvl w:val="1"/>
        <w:rPr>
          <w:rFonts w:ascii="黑体" w:hAnsi="黑体" w:eastAsia="黑体"/>
          <w:sz w:val="32"/>
          <w:szCs w:val="32"/>
        </w:rPr>
      </w:pPr>
      <w:r>
        <w:rPr>
          <w:rFonts w:hint="eastAsia" w:ascii="黑体" w:hAnsi="黑体" w:eastAsia="黑体"/>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autoSpaceDE w:val="0"/>
        <w:autoSpaceDN w:val="0"/>
        <w:spacing w:afterLines="100" w:line="590" w:lineRule="exact"/>
        <w:jc w:val="center"/>
        <w:rPr>
          <w:rFonts w:ascii="仿宋_GB2312" w:hAnsi="华文中宋" w:eastAsia="仿宋_GB2312"/>
          <w:b/>
          <w:color w:val="000000"/>
          <w:spacing w:val="10"/>
          <w:sz w:val="30"/>
          <w:szCs w:val="30"/>
        </w:rPr>
      </w:pPr>
      <w:r>
        <w:rPr>
          <w:rFonts w:hint="eastAsia" w:ascii="华文中宋" w:hAnsi="华文中宋" w:eastAsia="华文中宋"/>
          <w:b/>
          <w:sz w:val="36"/>
          <w:szCs w:val="36"/>
        </w:rPr>
        <w:t>地质灾害风险预警等级对应防灾措施一览表</w:t>
      </w:r>
    </w:p>
    <w:tbl>
      <w:tblPr>
        <w:tblStyle w:val="10"/>
        <w:tblW w:w="102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306"/>
        <w:gridCol w:w="1448"/>
        <w:gridCol w:w="2399"/>
        <w:gridCol w:w="1968"/>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4"/>
              </w:rPr>
            </w:pPr>
            <w:r>
              <w:rPr>
                <w:rFonts w:hint="eastAsia" w:ascii="仿宋_GB2312" w:eastAsia="仿宋_GB2312"/>
                <w:sz w:val="24"/>
              </w:rPr>
              <w:t>级别</w:t>
            </w:r>
          </w:p>
        </w:tc>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pacing w:val="-24"/>
                <w:sz w:val="24"/>
              </w:rPr>
            </w:pPr>
            <w:r>
              <w:rPr>
                <w:rFonts w:hint="eastAsia" w:ascii="仿宋_GB2312" w:eastAsia="仿宋_GB2312"/>
                <w:spacing w:val="-24"/>
                <w:sz w:val="24"/>
              </w:rPr>
              <w:t>地质灾害可能性描述</w:t>
            </w:r>
          </w:p>
        </w:tc>
        <w:tc>
          <w:tcPr>
            <w:tcW w:w="1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4"/>
              </w:rPr>
            </w:pPr>
            <w:r>
              <w:rPr>
                <w:rFonts w:hint="eastAsia" w:ascii="仿宋_GB2312" w:eastAsia="仿宋_GB2312"/>
                <w:sz w:val="24"/>
              </w:rPr>
              <w:t>值班要求</w:t>
            </w:r>
          </w:p>
        </w:tc>
        <w:tc>
          <w:tcPr>
            <w:tcW w:w="2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4"/>
              </w:rPr>
            </w:pPr>
            <w:r>
              <w:rPr>
                <w:rFonts w:hint="eastAsia" w:ascii="仿宋_GB2312" w:eastAsia="仿宋_GB2312"/>
                <w:sz w:val="24"/>
              </w:rPr>
              <w:t>预案启动</w:t>
            </w: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4"/>
              </w:rPr>
            </w:pPr>
            <w:r>
              <w:rPr>
                <w:rFonts w:hint="eastAsia" w:ascii="仿宋_GB2312" w:eastAsia="仿宋_GB2312"/>
                <w:sz w:val="24"/>
              </w:rPr>
              <w:t>转移对象</w:t>
            </w: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hAnsi="Tahoma" w:eastAsia="仿宋_GB2312"/>
                <w:sz w:val="24"/>
              </w:rPr>
            </w:pPr>
            <w:r>
              <w:rPr>
                <w:rFonts w:hint="eastAsia" w:ascii="仿宋_GB2312" w:eastAsia="仿宋_GB2312"/>
                <w:sz w:val="24"/>
              </w:rPr>
              <w:t>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3"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4"/>
              </w:rPr>
            </w:pPr>
            <w:r>
              <w:rPr>
                <w:rFonts w:hint="eastAsia" w:ascii="仿宋_GB2312" w:hAnsi="宋体" w:eastAsia="仿宋_GB2312"/>
                <w:sz w:val="24"/>
              </w:rPr>
              <w:t>一级</w:t>
            </w:r>
          </w:p>
          <w:p>
            <w:pPr>
              <w:adjustRightInd w:val="0"/>
              <w:snapToGrid w:val="0"/>
              <w:spacing w:line="460" w:lineRule="exact"/>
              <w:rPr>
                <w:rFonts w:ascii="仿宋_GB2312" w:hAnsi="宋体" w:eastAsia="仿宋_GB2312"/>
                <w:sz w:val="24"/>
              </w:rPr>
            </w:pPr>
            <w:r>
              <w:rPr>
                <w:rFonts w:hint="eastAsia" w:ascii="仿宋_GB2312" w:hAnsi="宋体" w:eastAsia="仿宋_GB2312"/>
                <w:sz w:val="24"/>
              </w:rPr>
              <w:t>（红色）</w:t>
            </w:r>
          </w:p>
        </w:tc>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ascii="仿宋_GB2312" w:hAnsi="宋体" w:eastAsia="仿宋_GB2312"/>
                <w:sz w:val="24"/>
              </w:rPr>
            </w:pPr>
            <w:r>
              <w:rPr>
                <w:rFonts w:hint="eastAsia" w:ascii="仿宋_GB2312" w:hAnsi="宋体" w:eastAsia="仿宋_GB2312"/>
                <w:sz w:val="24"/>
              </w:rPr>
              <w:t>地质灾害发生可能性很大（</w:t>
            </w:r>
            <w:r>
              <w:rPr>
                <w:rFonts w:hint="eastAsia" w:ascii="仿宋_GB2312" w:hAnsi="宋体" w:eastAsia="仿宋_GB2312" w:cs="仿宋_GB2312"/>
                <w:sz w:val="24"/>
              </w:rPr>
              <w:t>有很高地质灾害风险</w:t>
            </w:r>
            <w:r>
              <w:rPr>
                <w:rFonts w:hint="eastAsia" w:ascii="仿宋_GB2312" w:hAnsi="宋体" w:eastAsia="仿宋_GB2312"/>
                <w:sz w:val="24"/>
              </w:rPr>
              <w:t>）</w:t>
            </w:r>
          </w:p>
        </w:tc>
        <w:tc>
          <w:tcPr>
            <w:tcW w:w="1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ascii="仿宋_GB2312" w:hAnsi="宋体" w:eastAsia="仿宋_GB2312"/>
                <w:color w:val="000000"/>
                <w:sz w:val="24"/>
              </w:rPr>
            </w:pPr>
            <w:r>
              <w:rPr>
                <w:rFonts w:hint="eastAsia" w:ascii="仿宋_GB2312" w:hAnsi="宋体" w:eastAsia="仿宋_GB2312"/>
                <w:color w:val="000000"/>
                <w:sz w:val="24"/>
              </w:rPr>
              <w:t>各级人民政府及有关部门24小时值班室值班，领导带班，做好随时抢险救灾准备。</w:t>
            </w:r>
          </w:p>
        </w:tc>
        <w:tc>
          <w:tcPr>
            <w:tcW w:w="2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sz w:val="24"/>
              </w:rPr>
            </w:pPr>
            <w:r>
              <w:rPr>
                <w:rFonts w:hint="eastAsia" w:ascii="仿宋_GB2312" w:hAnsi="宋体" w:eastAsia="仿宋_GB2312"/>
                <w:color w:val="000000"/>
                <w:sz w:val="24"/>
              </w:rPr>
              <w:t>区人民政府应及时启动相关的应急预案和抢险救灾指挥系统，做好应急准备，派出应急小分队或者包村干部驻点指导防灾抗灾救灾工作。镇人民政府、街道办事处及时启动《村（居）汛期地质灾害防御群众转移预案》。</w:t>
            </w: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ascii="仿宋_GB2312" w:hAnsi="宋体" w:eastAsia="仿宋_GB2312"/>
                <w:sz w:val="24"/>
              </w:rPr>
            </w:pPr>
            <w:r>
              <w:rPr>
                <w:rFonts w:hint="eastAsia" w:ascii="仿宋_GB2312" w:hAnsi="宋体" w:eastAsia="仿宋_GB2312"/>
                <w:color w:val="000000"/>
                <w:sz w:val="24"/>
              </w:rPr>
              <w:t>镇（街）、村（居）防灾负责人立即组织地质灾害隐患点和高陡边坡、沟谷沟口等易发区域内的所有群众转移避险。</w:t>
            </w: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ascii="仿宋_GB2312" w:hAnsi="宋体" w:eastAsia="仿宋_GB2312"/>
                <w:sz w:val="24"/>
              </w:rPr>
            </w:pPr>
            <w:r>
              <w:rPr>
                <w:rFonts w:hint="eastAsia" w:ascii="仿宋_GB2312" w:hAnsi="宋体" w:eastAsia="仿宋_GB2312"/>
                <w:color w:val="000000"/>
                <w:sz w:val="24"/>
              </w:rPr>
              <w:t>镇（街）、村（居）防灾负责人组织对山边河边、沟谷沟口、高陡边坡等易发区域进行巡查、监测和防范。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1"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4"/>
              </w:rPr>
            </w:pPr>
            <w:r>
              <w:rPr>
                <w:rFonts w:hint="eastAsia" w:ascii="仿宋_GB2312" w:hAnsi="宋体" w:eastAsia="仿宋_GB2312"/>
                <w:sz w:val="24"/>
              </w:rPr>
              <w:t>二级</w:t>
            </w:r>
          </w:p>
          <w:p>
            <w:pPr>
              <w:adjustRightInd w:val="0"/>
              <w:snapToGrid w:val="0"/>
              <w:spacing w:line="460" w:lineRule="exact"/>
              <w:rPr>
                <w:rFonts w:ascii="仿宋_GB2312" w:hAnsi="宋体" w:eastAsia="仿宋_GB2312"/>
                <w:sz w:val="24"/>
              </w:rPr>
            </w:pPr>
            <w:r>
              <w:rPr>
                <w:rFonts w:hint="eastAsia" w:ascii="仿宋_GB2312" w:hAnsi="宋体" w:eastAsia="仿宋_GB2312"/>
                <w:sz w:val="24"/>
              </w:rPr>
              <w:t>（橙色）</w:t>
            </w:r>
          </w:p>
        </w:tc>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ascii="仿宋_GB2312" w:hAnsi="宋体" w:eastAsia="仿宋_GB2312"/>
                <w:sz w:val="24"/>
              </w:rPr>
            </w:pPr>
            <w:r>
              <w:rPr>
                <w:rFonts w:hint="eastAsia" w:ascii="仿宋_GB2312" w:hAnsi="宋体" w:eastAsia="仿宋_GB2312"/>
                <w:sz w:val="24"/>
              </w:rPr>
              <w:t>地质灾害发生可能性大（</w:t>
            </w:r>
            <w:r>
              <w:rPr>
                <w:rFonts w:hint="eastAsia" w:ascii="仿宋_GB2312" w:hAnsi="宋体" w:eastAsia="仿宋_GB2312" w:cs="仿宋_GB2312"/>
                <w:sz w:val="24"/>
              </w:rPr>
              <w:t>有高地质灾害风险</w:t>
            </w:r>
            <w:r>
              <w:rPr>
                <w:rFonts w:hint="eastAsia" w:ascii="仿宋_GB2312" w:hAnsi="宋体" w:eastAsia="仿宋_GB2312"/>
                <w:sz w:val="24"/>
              </w:rPr>
              <w:t>）</w:t>
            </w:r>
          </w:p>
        </w:tc>
        <w:tc>
          <w:tcPr>
            <w:tcW w:w="1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ascii="仿宋_GB2312" w:hAnsi="宋体" w:eastAsia="仿宋_GB2312"/>
                <w:sz w:val="24"/>
              </w:rPr>
            </w:pPr>
            <w:r>
              <w:rPr>
                <w:rFonts w:hint="eastAsia" w:ascii="仿宋_GB2312" w:hAnsi="宋体" w:eastAsia="仿宋_GB2312"/>
                <w:color w:val="000000"/>
                <w:spacing w:val="-6"/>
                <w:sz w:val="24"/>
              </w:rPr>
              <w:t>各级人民政府及有关部门24小时值班室值班，领导带班，做好抢险救灾准备。</w:t>
            </w:r>
          </w:p>
        </w:tc>
        <w:tc>
          <w:tcPr>
            <w:tcW w:w="2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ascii="仿宋_GB2312" w:hAnsi="宋体" w:eastAsia="仿宋_GB2312"/>
                <w:sz w:val="24"/>
              </w:rPr>
            </w:pPr>
            <w:r>
              <w:rPr>
                <w:rFonts w:hint="eastAsia" w:ascii="仿宋_GB2312" w:hAnsi="宋体" w:eastAsia="仿宋_GB2312"/>
                <w:color w:val="000000"/>
                <w:sz w:val="24"/>
              </w:rPr>
              <w:t>区、镇人民政府、街道办事处根据险情及时启动相关的应急预案和《村（居）汛期地质灾害防御群众转移预案》。</w:t>
            </w: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ascii="仿宋_GB2312" w:hAnsi="宋体" w:eastAsia="仿宋_GB2312"/>
                <w:sz w:val="24"/>
              </w:rPr>
            </w:pPr>
            <w:r>
              <w:rPr>
                <w:rFonts w:hint="eastAsia" w:ascii="仿宋_GB2312" w:hAnsi="宋体" w:eastAsia="仿宋_GB2312"/>
                <w:color w:val="000000"/>
                <w:sz w:val="24"/>
              </w:rPr>
              <w:t>镇（街）、村（居）防灾负责人组织地质灾害隐患点群众转移避险，易发区受威胁人员根据雨情险情适时转移避险。</w:t>
            </w: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ascii="仿宋_GB2312" w:hAnsi="宋体" w:eastAsia="仿宋_GB2312"/>
                <w:sz w:val="24"/>
              </w:rPr>
            </w:pPr>
            <w:r>
              <w:rPr>
                <w:rFonts w:hint="eastAsia" w:ascii="仿宋_GB2312" w:hAnsi="宋体" w:eastAsia="仿宋_GB2312"/>
                <w:color w:val="000000"/>
                <w:sz w:val="24"/>
              </w:rPr>
              <w:t>镇（街）、村（居）防灾负责人组织对地质灾害隐患点和易发区域加密监测、巡查和防范。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sz w:val="24"/>
              </w:rPr>
            </w:pPr>
            <w:r>
              <w:rPr>
                <w:rFonts w:hint="eastAsia" w:ascii="仿宋_GB2312" w:hAnsi="宋体" w:eastAsia="仿宋_GB2312"/>
                <w:sz w:val="24"/>
              </w:rPr>
              <w:t>三级</w:t>
            </w:r>
          </w:p>
          <w:p>
            <w:pPr>
              <w:adjustRightInd w:val="0"/>
              <w:snapToGrid w:val="0"/>
              <w:spacing w:line="440" w:lineRule="exact"/>
              <w:rPr>
                <w:rFonts w:ascii="仿宋_GB2312" w:hAnsi="宋体" w:eastAsia="仿宋_GB2312"/>
                <w:sz w:val="24"/>
              </w:rPr>
            </w:pPr>
            <w:r>
              <w:rPr>
                <w:rFonts w:hint="eastAsia" w:ascii="仿宋_GB2312" w:hAnsi="宋体" w:eastAsia="仿宋_GB2312"/>
                <w:sz w:val="24"/>
              </w:rPr>
              <w:t>（黄色）</w:t>
            </w:r>
          </w:p>
        </w:tc>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宋体" w:eastAsia="仿宋_GB2312"/>
                <w:sz w:val="24"/>
              </w:rPr>
            </w:pPr>
            <w:r>
              <w:rPr>
                <w:rFonts w:hint="eastAsia" w:ascii="仿宋_GB2312" w:hAnsi="宋体" w:eastAsia="仿宋_GB2312"/>
                <w:sz w:val="24"/>
              </w:rPr>
              <w:t>地质灾害发生可能性较大（</w:t>
            </w:r>
            <w:r>
              <w:rPr>
                <w:rFonts w:hint="eastAsia" w:ascii="仿宋_GB2312" w:hAnsi="宋体" w:eastAsia="仿宋_GB2312" w:cs="仿宋_GB2312"/>
                <w:sz w:val="24"/>
              </w:rPr>
              <w:t>有较高地质灾害风险</w:t>
            </w:r>
            <w:r>
              <w:rPr>
                <w:rFonts w:hint="eastAsia" w:ascii="仿宋_GB2312" w:hAnsi="宋体" w:eastAsia="仿宋_GB2312"/>
                <w:sz w:val="24"/>
              </w:rPr>
              <w:t>）</w:t>
            </w:r>
          </w:p>
        </w:tc>
        <w:tc>
          <w:tcPr>
            <w:tcW w:w="1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宋体" w:eastAsia="仿宋_GB2312"/>
                <w:sz w:val="24"/>
              </w:rPr>
            </w:pPr>
            <w:r>
              <w:rPr>
                <w:rFonts w:hint="eastAsia" w:ascii="仿宋_GB2312" w:hAnsi="宋体" w:eastAsia="仿宋_GB2312"/>
                <w:sz w:val="24"/>
              </w:rPr>
              <w:t>区、镇人民政府、街道办事处及有关部门做好值班工作和应急准备。</w:t>
            </w:r>
          </w:p>
        </w:tc>
        <w:tc>
          <w:tcPr>
            <w:tcW w:w="2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宋体" w:eastAsia="仿宋_GB2312"/>
                <w:sz w:val="24"/>
              </w:rPr>
            </w:pPr>
            <w:r>
              <w:rPr>
                <w:rFonts w:hint="eastAsia" w:ascii="仿宋_GB2312" w:hAnsi="宋体" w:eastAsia="仿宋_GB2312"/>
                <w:sz w:val="24"/>
              </w:rPr>
              <w:t>镇人民政府、街道办事处</w:t>
            </w:r>
            <w:r>
              <w:rPr>
                <w:rFonts w:hint="eastAsia" w:ascii="仿宋_GB2312" w:hAnsi="宋体" w:eastAsia="仿宋_GB2312" w:cs="仿宋_GB2312"/>
                <w:sz w:val="24"/>
              </w:rPr>
              <w:t>视情况</w:t>
            </w:r>
            <w:r>
              <w:rPr>
                <w:rFonts w:hint="eastAsia" w:ascii="仿宋_GB2312" w:hAnsi="宋体" w:eastAsia="仿宋_GB2312"/>
                <w:sz w:val="24"/>
              </w:rPr>
              <w:t>启动《村（居）汛期地质灾害防御群众转移预案》。</w:t>
            </w: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宋体" w:eastAsia="仿宋_GB2312"/>
                <w:sz w:val="24"/>
              </w:rPr>
            </w:pPr>
            <w:r>
              <w:rPr>
                <w:rFonts w:hint="eastAsia" w:ascii="仿宋_GB2312" w:hAnsi="宋体" w:eastAsia="仿宋_GB2312"/>
                <w:color w:val="000000"/>
                <w:sz w:val="24"/>
              </w:rPr>
              <w:t>根据雨情险情转移受威胁群众。</w:t>
            </w: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宋体" w:eastAsia="仿宋_GB2312"/>
                <w:sz w:val="24"/>
              </w:rPr>
            </w:pPr>
            <w:r>
              <w:rPr>
                <w:rFonts w:hint="eastAsia" w:ascii="仿宋_GB2312" w:hAnsi="宋体" w:eastAsia="仿宋_GB2312"/>
                <w:color w:val="000000"/>
                <w:sz w:val="24"/>
              </w:rPr>
              <w:t>镇（街）、村（居）防灾负责人组织对地质灾害隐患点和易发区域加强监测、巡查和防范。</w:t>
            </w:r>
          </w:p>
        </w:tc>
      </w:tr>
    </w:tbl>
    <w:p>
      <w:pPr>
        <w:spacing w:line="590" w:lineRule="exact"/>
        <w:outlineLvl w:val="1"/>
        <w:rPr>
          <w:rFonts w:ascii="黑体" w:hAnsi="宋体" w:eastAsia="黑体"/>
          <w:sz w:val="30"/>
          <w:szCs w:val="30"/>
        </w:rPr>
      </w:pPr>
      <w:r>
        <w:rPr>
          <w:rFonts w:hint="eastAsia" w:ascii="黑体" w:hAnsi="宋体" w:eastAsia="黑体"/>
          <w:sz w:val="30"/>
          <w:szCs w:val="30"/>
        </w:rPr>
        <w:t>附件4</w:t>
      </w:r>
    </w:p>
    <w:p>
      <w:pPr>
        <w:spacing w:afterLines="100" w:line="590" w:lineRule="exact"/>
        <w:jc w:val="center"/>
        <w:outlineLvl w:val="1"/>
        <w:rPr>
          <w:rFonts w:ascii="方正小标宋简体" w:hAnsi="华文中宋" w:eastAsia="方正小标宋简体"/>
          <w:sz w:val="36"/>
          <w:szCs w:val="36"/>
        </w:rPr>
      </w:pPr>
      <w:r>
        <w:rPr>
          <w:rFonts w:hint="eastAsia" w:ascii="方正小标宋简体" w:hAnsi="华文中宋" w:eastAsia="方正小标宋简体"/>
          <w:sz w:val="36"/>
          <w:szCs w:val="36"/>
        </w:rPr>
        <w:t>地质灾害灾情险情及响应措施一览表</w:t>
      </w:r>
    </w:p>
    <w:tbl>
      <w:tblPr>
        <w:tblStyle w:val="10"/>
        <w:tblW w:w="9438" w:type="dxa"/>
        <w:tblInd w:w="-116" w:type="dxa"/>
        <w:tblLayout w:type="fixed"/>
        <w:tblCellMar>
          <w:top w:w="0" w:type="dxa"/>
          <w:left w:w="108" w:type="dxa"/>
          <w:bottom w:w="0" w:type="dxa"/>
          <w:right w:w="108" w:type="dxa"/>
        </w:tblCellMar>
      </w:tblPr>
      <w:tblGrid>
        <w:gridCol w:w="690"/>
        <w:gridCol w:w="915"/>
        <w:gridCol w:w="915"/>
        <w:gridCol w:w="1248"/>
        <w:gridCol w:w="851"/>
        <w:gridCol w:w="993"/>
        <w:gridCol w:w="1558"/>
        <w:gridCol w:w="2268"/>
      </w:tblGrid>
      <w:tr>
        <w:tblPrEx>
          <w:tblLayout w:type="fixed"/>
          <w:tblCellMar>
            <w:top w:w="0" w:type="dxa"/>
            <w:left w:w="108" w:type="dxa"/>
            <w:bottom w:w="0" w:type="dxa"/>
            <w:right w:w="108" w:type="dxa"/>
          </w:tblCellMar>
        </w:tblPrEx>
        <w:trPr>
          <w:trHeight w:val="469" w:hRule="atLeast"/>
        </w:trPr>
        <w:tc>
          <w:tcPr>
            <w:tcW w:w="69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仿宋_GB2312" w:eastAsia="仿宋_GB2312"/>
                <w:sz w:val="24"/>
              </w:rPr>
              <w:t>级别</w:t>
            </w:r>
          </w:p>
        </w:tc>
        <w:tc>
          <w:tcPr>
            <w:tcW w:w="3078" w:type="dxa"/>
            <w:gridSpan w:val="3"/>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sz w:val="24"/>
              </w:rPr>
            </w:pPr>
            <w:r>
              <w:rPr>
                <w:rFonts w:hint="eastAsia" w:ascii="仿宋_GB2312" w:eastAsia="仿宋_GB2312"/>
                <w:sz w:val="24"/>
              </w:rPr>
              <w:t>灾情</w:t>
            </w:r>
          </w:p>
        </w:tc>
        <w:tc>
          <w:tcPr>
            <w:tcW w:w="1844"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sz w:val="24"/>
              </w:rPr>
            </w:pPr>
            <w:r>
              <w:rPr>
                <w:rFonts w:hint="eastAsia" w:ascii="仿宋_GB2312" w:eastAsia="仿宋_GB2312"/>
                <w:sz w:val="24"/>
              </w:rPr>
              <w:t>险情</w:t>
            </w:r>
          </w:p>
        </w:tc>
        <w:tc>
          <w:tcPr>
            <w:tcW w:w="3826"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sz w:val="24"/>
              </w:rPr>
            </w:pPr>
            <w:r>
              <w:rPr>
                <w:rFonts w:hint="eastAsia" w:ascii="仿宋_GB2312" w:eastAsia="仿宋_GB2312"/>
                <w:sz w:val="24"/>
              </w:rPr>
              <w:t>响应措施</w:t>
            </w:r>
          </w:p>
        </w:tc>
      </w:tr>
      <w:tr>
        <w:tblPrEx>
          <w:tblLayout w:type="fixed"/>
          <w:tblCellMar>
            <w:top w:w="0" w:type="dxa"/>
            <w:left w:w="108" w:type="dxa"/>
            <w:bottom w:w="0" w:type="dxa"/>
            <w:right w:w="108" w:type="dxa"/>
          </w:tblCellMar>
        </w:tblPrEx>
        <w:trPr>
          <w:trHeight w:val="855"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rPr>
                <w:rFonts w:ascii="微软雅黑" w:hAnsi="微软雅黑" w:cs="宋体"/>
                <w:color w:val="000000"/>
                <w:sz w:val="18"/>
                <w:szCs w:val="18"/>
              </w:rPr>
            </w:pPr>
          </w:p>
        </w:tc>
        <w:tc>
          <w:tcPr>
            <w:tcW w:w="915" w:type="dxa"/>
            <w:tcBorders>
              <w:top w:val="nil"/>
              <w:left w:val="nil"/>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微软雅黑" w:hAnsi="微软雅黑" w:cs="宋体"/>
                <w:color w:val="000000"/>
                <w:sz w:val="18"/>
                <w:szCs w:val="18"/>
              </w:rPr>
              <w:t>因灾死亡和失踪人数</w:t>
            </w:r>
          </w:p>
        </w:tc>
        <w:tc>
          <w:tcPr>
            <w:tcW w:w="915" w:type="dxa"/>
            <w:tcBorders>
              <w:top w:val="nil"/>
              <w:left w:val="nil"/>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微软雅黑" w:hAnsi="微软雅黑" w:cs="宋体"/>
                <w:color w:val="000000"/>
                <w:sz w:val="18"/>
                <w:szCs w:val="18"/>
              </w:rPr>
              <w:t>造成直接经济损失</w:t>
            </w:r>
          </w:p>
        </w:tc>
        <w:tc>
          <w:tcPr>
            <w:tcW w:w="1248" w:type="dxa"/>
            <w:tcBorders>
              <w:top w:val="nil"/>
              <w:left w:val="nil"/>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微软雅黑" w:hAnsi="微软雅黑" w:cs="宋体"/>
                <w:color w:val="000000"/>
                <w:sz w:val="18"/>
                <w:szCs w:val="18"/>
              </w:rPr>
              <w:t>其他</w:t>
            </w:r>
          </w:p>
        </w:tc>
        <w:tc>
          <w:tcPr>
            <w:tcW w:w="851" w:type="dxa"/>
            <w:tcBorders>
              <w:top w:val="nil"/>
              <w:left w:val="nil"/>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受地质灾害威胁，需搬迁转移人数</w:t>
            </w:r>
          </w:p>
        </w:tc>
        <w:tc>
          <w:tcPr>
            <w:tcW w:w="993" w:type="dxa"/>
            <w:tcBorders>
              <w:top w:val="nil"/>
              <w:left w:val="nil"/>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微软雅黑" w:hAnsi="微软雅黑" w:cs="宋体"/>
                <w:color w:val="000000"/>
                <w:sz w:val="18"/>
                <w:szCs w:val="18"/>
              </w:rPr>
              <w:t>潜在可能造成的经济损失</w:t>
            </w:r>
          </w:p>
        </w:tc>
        <w:tc>
          <w:tcPr>
            <w:tcW w:w="1558" w:type="dxa"/>
            <w:tcBorders>
              <w:top w:val="nil"/>
              <w:left w:val="nil"/>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微软雅黑" w:hAnsi="微软雅黑" w:cs="宋体"/>
                <w:color w:val="000000"/>
                <w:sz w:val="18"/>
                <w:szCs w:val="18"/>
              </w:rPr>
              <w:t>市级</w:t>
            </w:r>
          </w:p>
        </w:tc>
        <w:tc>
          <w:tcPr>
            <w:tcW w:w="2268" w:type="dxa"/>
            <w:tcBorders>
              <w:top w:val="nil"/>
              <w:left w:val="nil"/>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微软雅黑" w:hAnsi="微软雅黑" w:cs="宋体"/>
                <w:color w:val="000000"/>
                <w:sz w:val="18"/>
                <w:szCs w:val="18"/>
              </w:rPr>
              <w:t>区级</w:t>
            </w:r>
          </w:p>
        </w:tc>
      </w:tr>
      <w:tr>
        <w:tblPrEx>
          <w:tblLayout w:type="fixed"/>
          <w:tblCellMar>
            <w:top w:w="0" w:type="dxa"/>
            <w:left w:w="108" w:type="dxa"/>
            <w:bottom w:w="0" w:type="dxa"/>
            <w:right w:w="108" w:type="dxa"/>
          </w:tblCellMar>
        </w:tblPrEx>
        <w:trPr>
          <w:trHeight w:val="1399" w:hRule="atLeast"/>
        </w:trPr>
        <w:tc>
          <w:tcPr>
            <w:tcW w:w="690"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特</w:t>
            </w:r>
          </w:p>
          <w:p>
            <w:pPr>
              <w:spacing w:line="400" w:lineRule="exact"/>
              <w:jc w:val="center"/>
              <w:rPr>
                <w:rFonts w:ascii="仿宋_GB2312" w:eastAsia="仿宋_GB2312"/>
                <w:sz w:val="24"/>
              </w:rPr>
            </w:pPr>
            <w:r>
              <w:rPr>
                <w:rFonts w:hint="eastAsia" w:ascii="仿宋_GB2312" w:eastAsia="仿宋_GB2312"/>
                <w:sz w:val="24"/>
              </w:rPr>
              <w:t>大</w:t>
            </w:r>
          </w:p>
          <w:p>
            <w:pPr>
              <w:spacing w:line="400" w:lineRule="exact"/>
              <w:jc w:val="center"/>
              <w:rPr>
                <w:rFonts w:ascii="微软雅黑" w:hAnsi="微软雅黑" w:cs="宋体"/>
                <w:color w:val="000000"/>
                <w:sz w:val="18"/>
                <w:szCs w:val="18"/>
              </w:rPr>
            </w:pPr>
            <w:r>
              <w:rPr>
                <w:rFonts w:hint="eastAsia" w:ascii="仿宋_GB2312" w:eastAsia="仿宋_GB2312"/>
                <w:sz w:val="24"/>
              </w:rPr>
              <w:t>型</w:t>
            </w:r>
          </w:p>
        </w:tc>
        <w:tc>
          <w:tcPr>
            <w:tcW w:w="915" w:type="dxa"/>
            <w:tcBorders>
              <w:top w:val="nil"/>
              <w:left w:val="nil"/>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30（含）以上</w:t>
            </w:r>
          </w:p>
        </w:tc>
        <w:tc>
          <w:tcPr>
            <w:tcW w:w="915" w:type="dxa"/>
            <w:tcBorders>
              <w:top w:val="nil"/>
              <w:left w:val="nil"/>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1000万元（含）以上</w:t>
            </w:r>
          </w:p>
        </w:tc>
        <w:tc>
          <w:tcPr>
            <w:tcW w:w="1248" w:type="dxa"/>
            <w:tcBorders>
              <w:top w:val="nil"/>
              <w:left w:val="nil"/>
              <w:bottom w:val="single" w:color="auto" w:sz="4" w:space="0"/>
              <w:right w:val="single" w:color="auto" w:sz="4" w:space="0"/>
            </w:tcBorders>
            <w:vAlign w:val="center"/>
          </w:tcPr>
          <w:p>
            <w:pPr>
              <w:spacing w:line="400" w:lineRule="exact"/>
              <w:rPr>
                <w:rFonts w:ascii="微软雅黑" w:hAnsi="微软雅黑" w:cs="宋体"/>
                <w:color w:val="000000"/>
                <w:sz w:val="18"/>
                <w:szCs w:val="18"/>
              </w:rPr>
            </w:pPr>
            <w:r>
              <w:rPr>
                <w:rFonts w:hint="eastAsia" w:ascii="微软雅黑" w:hAnsi="微软雅黑" w:cs="宋体"/>
                <w:color w:val="000000"/>
                <w:sz w:val="18"/>
                <w:szCs w:val="18"/>
              </w:rPr>
              <w:t>因地质灾害造成大江大河及其支流被阻断，严重影响群众生命财产安全</w:t>
            </w:r>
          </w:p>
        </w:tc>
        <w:tc>
          <w:tcPr>
            <w:tcW w:w="851" w:type="dxa"/>
            <w:tcBorders>
              <w:top w:val="nil"/>
              <w:left w:val="nil"/>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1000人（含）以上</w:t>
            </w:r>
          </w:p>
        </w:tc>
        <w:tc>
          <w:tcPr>
            <w:tcW w:w="993" w:type="dxa"/>
            <w:tcBorders>
              <w:top w:val="nil"/>
              <w:left w:val="nil"/>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１亿元（含）以上</w:t>
            </w:r>
          </w:p>
        </w:tc>
        <w:tc>
          <w:tcPr>
            <w:tcW w:w="1558" w:type="dxa"/>
            <w:tcBorders>
              <w:top w:val="nil"/>
              <w:left w:val="nil"/>
              <w:bottom w:val="single" w:color="auto" w:sz="4" w:space="0"/>
              <w:right w:val="single" w:color="auto" w:sz="4" w:space="0"/>
            </w:tcBorders>
            <w:vAlign w:val="center"/>
          </w:tcPr>
          <w:p>
            <w:pPr>
              <w:spacing w:line="400" w:lineRule="exact"/>
              <w:rPr>
                <w:rFonts w:ascii="微软雅黑" w:hAnsi="微软雅黑" w:cs="宋体"/>
                <w:color w:val="000000"/>
                <w:sz w:val="18"/>
                <w:szCs w:val="18"/>
              </w:rPr>
            </w:pPr>
            <w:r>
              <w:rPr>
                <w:rFonts w:hint="eastAsia" w:ascii="微软雅黑" w:hAnsi="微软雅黑" w:cs="宋体"/>
                <w:color w:val="000000"/>
                <w:sz w:val="18"/>
                <w:szCs w:val="18"/>
              </w:rPr>
              <w:t>市人民政府立即向省人民政府、省应急指挥部办公室报告，立即启动本级应急预案和抢险救灾指挥系统，调集有关部门和抢险救灾力量赶赴现场，协助开展抢险救灾工作。</w:t>
            </w:r>
          </w:p>
        </w:tc>
        <w:tc>
          <w:tcPr>
            <w:tcW w:w="2268" w:type="dxa"/>
            <w:tcBorders>
              <w:top w:val="nil"/>
              <w:left w:val="nil"/>
              <w:bottom w:val="single" w:color="auto" w:sz="4" w:space="0"/>
              <w:right w:val="single" w:color="auto" w:sz="4" w:space="0"/>
            </w:tcBorders>
            <w:vAlign w:val="center"/>
          </w:tcPr>
          <w:p>
            <w:pPr>
              <w:spacing w:line="400" w:lineRule="exact"/>
              <w:rPr>
                <w:rFonts w:ascii="微软雅黑" w:hAnsi="微软雅黑" w:cs="宋体"/>
                <w:color w:val="000000"/>
                <w:sz w:val="18"/>
                <w:szCs w:val="18"/>
              </w:rPr>
            </w:pPr>
            <w:r>
              <w:rPr>
                <w:rFonts w:hint="eastAsia" w:ascii="微软雅黑" w:hAnsi="微软雅黑" w:cs="宋体"/>
                <w:color w:val="000000"/>
                <w:sz w:val="18"/>
                <w:szCs w:val="18"/>
              </w:rPr>
              <w:t>区人民政府应立即启动相关应急预案，成立抢险救灾指挥部，开展应急调查与监测，划定危险区域并设立警示标志，判定地质灾害级别及引发因素、灾害体规模等。根据地质灾害灾情和险情，组织群众转移避灾，情况危急时应强制组织受威胁群众避灾疏散，并组织开展先期抢救被压埋人员和应急排险等工作。</w:t>
            </w:r>
          </w:p>
        </w:tc>
      </w:tr>
      <w:tr>
        <w:tblPrEx>
          <w:tblLayout w:type="fixed"/>
          <w:tblCellMar>
            <w:top w:w="0" w:type="dxa"/>
            <w:left w:w="108" w:type="dxa"/>
            <w:bottom w:w="0" w:type="dxa"/>
            <w:right w:w="108" w:type="dxa"/>
          </w:tblCellMar>
        </w:tblPrEx>
        <w:trPr>
          <w:trHeight w:val="90" w:hRule="atLeast"/>
        </w:trPr>
        <w:tc>
          <w:tcPr>
            <w:tcW w:w="690"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大</w:t>
            </w:r>
          </w:p>
          <w:p>
            <w:pPr>
              <w:spacing w:line="400" w:lineRule="exact"/>
              <w:jc w:val="center"/>
              <w:rPr>
                <w:rFonts w:ascii="微软雅黑" w:hAnsi="微软雅黑" w:cs="宋体"/>
                <w:color w:val="000000"/>
                <w:sz w:val="18"/>
                <w:szCs w:val="18"/>
              </w:rPr>
            </w:pPr>
            <w:r>
              <w:rPr>
                <w:rFonts w:hint="eastAsia" w:ascii="仿宋_GB2312" w:eastAsia="仿宋_GB2312"/>
                <w:sz w:val="24"/>
              </w:rPr>
              <w:t>型</w:t>
            </w:r>
          </w:p>
        </w:tc>
        <w:tc>
          <w:tcPr>
            <w:tcW w:w="915" w:type="dxa"/>
            <w:tcBorders>
              <w:top w:val="nil"/>
              <w:left w:val="nil"/>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10人（含）以上、30人以下</w:t>
            </w:r>
          </w:p>
        </w:tc>
        <w:tc>
          <w:tcPr>
            <w:tcW w:w="915" w:type="dxa"/>
            <w:tcBorders>
              <w:top w:val="nil"/>
              <w:left w:val="nil"/>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500万元（含）以上、1000万元以下</w:t>
            </w:r>
          </w:p>
        </w:tc>
        <w:tc>
          <w:tcPr>
            <w:tcW w:w="1248" w:type="dxa"/>
            <w:tcBorders>
              <w:top w:val="nil"/>
              <w:left w:val="nil"/>
              <w:bottom w:val="single" w:color="auto" w:sz="4" w:space="0"/>
              <w:right w:val="single" w:color="auto" w:sz="4" w:space="0"/>
            </w:tcBorders>
            <w:vAlign w:val="center"/>
          </w:tcPr>
          <w:p>
            <w:pPr>
              <w:spacing w:line="400" w:lineRule="exact"/>
              <w:rPr>
                <w:rFonts w:ascii="微软雅黑" w:hAnsi="微软雅黑" w:cs="宋体"/>
                <w:color w:val="000000"/>
                <w:sz w:val="18"/>
                <w:szCs w:val="18"/>
              </w:rPr>
            </w:pPr>
            <w:r>
              <w:rPr>
                <w:rFonts w:hint="eastAsia" w:ascii="微软雅黑" w:hAnsi="微软雅黑" w:cs="宋体"/>
                <w:color w:val="000000"/>
                <w:sz w:val="18"/>
                <w:szCs w:val="18"/>
              </w:rPr>
              <w:t>因地质灾害造成铁路繁忙干线、高速公路、民航和江河航道中断，或者严重威胁群众生命财产安全、有重大社会影响</w:t>
            </w:r>
          </w:p>
        </w:tc>
        <w:tc>
          <w:tcPr>
            <w:tcW w:w="851" w:type="dxa"/>
            <w:tcBorders>
              <w:top w:val="nil"/>
              <w:left w:val="nil"/>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500人（含）以上1000人以下</w:t>
            </w:r>
          </w:p>
        </w:tc>
        <w:tc>
          <w:tcPr>
            <w:tcW w:w="993" w:type="dxa"/>
            <w:tcBorders>
              <w:top w:val="nil"/>
              <w:left w:val="nil"/>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5000万元（含）以上１亿元以下</w:t>
            </w:r>
          </w:p>
        </w:tc>
        <w:tc>
          <w:tcPr>
            <w:tcW w:w="1558" w:type="dxa"/>
            <w:tcBorders>
              <w:top w:val="nil"/>
              <w:left w:val="nil"/>
              <w:bottom w:val="single" w:color="auto" w:sz="4" w:space="0"/>
              <w:right w:val="single" w:color="auto" w:sz="4" w:space="0"/>
            </w:tcBorders>
            <w:vAlign w:val="center"/>
          </w:tcPr>
          <w:p>
            <w:pPr>
              <w:spacing w:line="380" w:lineRule="exact"/>
              <w:rPr>
                <w:rFonts w:ascii="微软雅黑" w:hAnsi="微软雅黑" w:cs="宋体"/>
                <w:color w:val="000000"/>
                <w:sz w:val="18"/>
                <w:szCs w:val="18"/>
              </w:rPr>
            </w:pPr>
            <w:r>
              <w:rPr>
                <w:rFonts w:hint="eastAsia" w:ascii="微软雅黑" w:hAnsi="微软雅黑" w:cs="宋体"/>
                <w:color w:val="000000"/>
                <w:sz w:val="18"/>
                <w:szCs w:val="18"/>
              </w:rPr>
              <w:t>市人民政府立即向省人民政府、省应急指挥部办公室报告，立即启动本级应急预案和抢险救灾指挥系统，调集有关部门和抢险救灾力量赶赴现场，协助开展抢险救灾工作。</w:t>
            </w:r>
          </w:p>
        </w:tc>
        <w:tc>
          <w:tcPr>
            <w:tcW w:w="2268" w:type="dxa"/>
            <w:tcBorders>
              <w:top w:val="nil"/>
              <w:left w:val="nil"/>
              <w:bottom w:val="single" w:color="auto" w:sz="4" w:space="0"/>
              <w:right w:val="single" w:color="auto" w:sz="4" w:space="0"/>
            </w:tcBorders>
            <w:vAlign w:val="center"/>
          </w:tcPr>
          <w:p>
            <w:pPr>
              <w:spacing w:line="360" w:lineRule="exact"/>
              <w:rPr>
                <w:rFonts w:ascii="微软雅黑" w:hAnsi="微软雅黑" w:cs="宋体"/>
                <w:color w:val="000000"/>
                <w:sz w:val="18"/>
                <w:szCs w:val="18"/>
              </w:rPr>
            </w:pPr>
            <w:r>
              <w:rPr>
                <w:rFonts w:hint="eastAsia" w:ascii="微软雅黑" w:hAnsi="微软雅黑" w:cs="宋体"/>
                <w:color w:val="000000"/>
                <w:sz w:val="18"/>
                <w:szCs w:val="18"/>
              </w:rPr>
              <w:t>区人民政府应立即启动相关应急预案，成立抢险救灾指挥部，开展应急调查与监测，划定危险区域并设立警示标志，判定地质灾害级别及引发因素、灾害体规模等。根据地质灾害灾情和险情，组织群众转移避灾，情况危急时应强制组织受威胁群众疏散避灾，并组织开展先期抢救被压埋人员和应急排险等工作。</w:t>
            </w:r>
          </w:p>
        </w:tc>
      </w:tr>
      <w:tr>
        <w:tblPrEx>
          <w:tblLayout w:type="fixed"/>
          <w:tblCellMar>
            <w:top w:w="0" w:type="dxa"/>
            <w:left w:w="108" w:type="dxa"/>
            <w:bottom w:w="0" w:type="dxa"/>
            <w:right w:w="108" w:type="dxa"/>
          </w:tblCellMar>
        </w:tblPrEx>
        <w:trPr>
          <w:trHeight w:val="90" w:hRule="atLeast"/>
        </w:trPr>
        <w:tc>
          <w:tcPr>
            <w:tcW w:w="690" w:type="dxa"/>
            <w:vMerge w:val="restart"/>
            <w:tcBorders>
              <w:top w:val="single" w:color="auto" w:sz="4" w:space="0"/>
              <w:left w:val="single" w:color="auto" w:sz="4" w:space="0"/>
              <w:right w:val="single" w:color="auto" w:sz="4" w:space="0"/>
            </w:tcBorders>
            <w:vAlign w:val="center"/>
          </w:tcPr>
          <w:p>
            <w:pPr>
              <w:spacing w:line="480" w:lineRule="exact"/>
              <w:jc w:val="center"/>
              <w:rPr>
                <w:rFonts w:ascii="仿宋_GB2312" w:eastAsia="仿宋_GB2312"/>
                <w:sz w:val="24"/>
              </w:rPr>
            </w:pPr>
            <w:r>
              <w:rPr>
                <w:rFonts w:hint="eastAsia" w:ascii="仿宋_GB2312" w:eastAsia="仿宋_GB2312"/>
                <w:sz w:val="24"/>
              </w:rPr>
              <w:t>级别</w:t>
            </w:r>
          </w:p>
        </w:tc>
        <w:tc>
          <w:tcPr>
            <w:tcW w:w="3078" w:type="dxa"/>
            <w:gridSpan w:val="3"/>
            <w:tcBorders>
              <w:top w:val="single" w:color="auto" w:sz="4" w:space="0"/>
              <w:left w:val="nil"/>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仿宋_GB2312" w:eastAsia="仿宋_GB2312"/>
                <w:sz w:val="24"/>
              </w:rPr>
              <w:t>灾情</w:t>
            </w:r>
          </w:p>
        </w:tc>
        <w:tc>
          <w:tcPr>
            <w:tcW w:w="1844"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仿宋_GB2312" w:eastAsia="仿宋_GB2312"/>
                <w:sz w:val="24"/>
              </w:rPr>
              <w:t>险情</w:t>
            </w:r>
          </w:p>
        </w:tc>
        <w:tc>
          <w:tcPr>
            <w:tcW w:w="3826"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仿宋_GB2312" w:eastAsia="仿宋_GB2312"/>
                <w:sz w:val="24"/>
              </w:rPr>
              <w:t>响应措施</w:t>
            </w:r>
          </w:p>
        </w:tc>
      </w:tr>
      <w:tr>
        <w:tblPrEx>
          <w:tblLayout w:type="fixed"/>
          <w:tblCellMar>
            <w:top w:w="0" w:type="dxa"/>
            <w:left w:w="108" w:type="dxa"/>
            <w:bottom w:w="0" w:type="dxa"/>
            <w:right w:w="108" w:type="dxa"/>
          </w:tblCellMar>
        </w:tblPrEx>
        <w:trPr>
          <w:trHeight w:val="1135" w:hRule="atLeast"/>
        </w:trPr>
        <w:tc>
          <w:tcPr>
            <w:tcW w:w="690" w:type="dxa"/>
            <w:vMerge w:val="continue"/>
            <w:tcBorders>
              <w:left w:val="single" w:color="auto" w:sz="4" w:space="0"/>
              <w:bottom w:val="single" w:color="auto" w:sz="4" w:space="0"/>
              <w:right w:val="single" w:color="auto" w:sz="4" w:space="0"/>
            </w:tcBorders>
            <w:vAlign w:val="center"/>
          </w:tcPr>
          <w:p>
            <w:pPr>
              <w:spacing w:line="480" w:lineRule="exact"/>
              <w:rPr>
                <w:rFonts w:ascii="仿宋_GB2312" w:eastAsia="仿宋_GB2312"/>
                <w:sz w:val="24"/>
              </w:rPr>
            </w:pPr>
          </w:p>
        </w:tc>
        <w:tc>
          <w:tcPr>
            <w:tcW w:w="915" w:type="dxa"/>
            <w:tcBorders>
              <w:top w:val="single" w:color="auto" w:sz="4" w:space="0"/>
              <w:left w:val="nil"/>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微软雅黑" w:hAnsi="微软雅黑" w:cs="宋体"/>
                <w:color w:val="000000"/>
                <w:sz w:val="18"/>
                <w:szCs w:val="18"/>
              </w:rPr>
              <w:t>因灾死亡和失踪人数</w:t>
            </w:r>
          </w:p>
        </w:tc>
        <w:tc>
          <w:tcPr>
            <w:tcW w:w="915" w:type="dxa"/>
            <w:tcBorders>
              <w:top w:val="single" w:color="auto" w:sz="4" w:space="0"/>
              <w:left w:val="nil"/>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微软雅黑" w:hAnsi="微软雅黑" w:cs="宋体"/>
                <w:color w:val="000000"/>
                <w:sz w:val="18"/>
                <w:szCs w:val="18"/>
              </w:rPr>
              <w:t>造成直接经济损失</w:t>
            </w:r>
          </w:p>
        </w:tc>
        <w:tc>
          <w:tcPr>
            <w:tcW w:w="1248" w:type="dxa"/>
            <w:tcBorders>
              <w:top w:val="single" w:color="auto" w:sz="4" w:space="0"/>
              <w:left w:val="nil"/>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微软雅黑" w:hAnsi="微软雅黑" w:cs="宋体"/>
                <w:color w:val="000000"/>
                <w:sz w:val="18"/>
                <w:szCs w:val="18"/>
              </w:rPr>
              <w:t>其他</w:t>
            </w:r>
          </w:p>
        </w:tc>
        <w:tc>
          <w:tcPr>
            <w:tcW w:w="851" w:type="dxa"/>
            <w:tcBorders>
              <w:top w:val="single" w:color="auto" w:sz="4" w:space="0"/>
              <w:left w:val="nil"/>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受地质灾害威胁，需搬迁转移人数</w:t>
            </w: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微软雅黑" w:hAnsi="微软雅黑" w:cs="宋体"/>
                <w:color w:val="000000"/>
                <w:sz w:val="18"/>
                <w:szCs w:val="18"/>
              </w:rPr>
              <w:t>潜在可能造成的经济损失</w:t>
            </w:r>
          </w:p>
        </w:tc>
        <w:tc>
          <w:tcPr>
            <w:tcW w:w="1558" w:type="dxa"/>
            <w:tcBorders>
              <w:top w:val="single" w:color="auto" w:sz="4" w:space="0"/>
              <w:left w:val="nil"/>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微软雅黑" w:hAnsi="微软雅黑" w:cs="宋体"/>
                <w:color w:val="000000"/>
                <w:sz w:val="18"/>
                <w:szCs w:val="18"/>
              </w:rPr>
              <w:t>市级</w:t>
            </w:r>
          </w:p>
        </w:tc>
        <w:tc>
          <w:tcPr>
            <w:tcW w:w="2268" w:type="dxa"/>
            <w:tcBorders>
              <w:top w:val="single" w:color="auto" w:sz="4" w:space="0"/>
              <w:left w:val="nil"/>
              <w:bottom w:val="single" w:color="auto" w:sz="4" w:space="0"/>
              <w:right w:val="single" w:color="auto" w:sz="4" w:space="0"/>
            </w:tcBorders>
            <w:vAlign w:val="center"/>
          </w:tcPr>
          <w:p>
            <w:pPr>
              <w:spacing w:line="480" w:lineRule="exact"/>
              <w:jc w:val="center"/>
              <w:rPr>
                <w:rFonts w:ascii="微软雅黑" w:hAnsi="微软雅黑" w:cs="宋体"/>
                <w:color w:val="000000"/>
                <w:sz w:val="18"/>
                <w:szCs w:val="18"/>
              </w:rPr>
            </w:pPr>
            <w:r>
              <w:rPr>
                <w:rFonts w:hint="eastAsia" w:ascii="微软雅黑" w:hAnsi="微软雅黑" w:cs="宋体"/>
                <w:color w:val="000000"/>
                <w:sz w:val="18"/>
                <w:szCs w:val="18"/>
              </w:rPr>
              <w:t>区级</w:t>
            </w:r>
          </w:p>
        </w:tc>
      </w:tr>
      <w:tr>
        <w:tblPrEx>
          <w:tblLayout w:type="fixed"/>
          <w:tblCellMar>
            <w:top w:w="0" w:type="dxa"/>
            <w:left w:w="108" w:type="dxa"/>
            <w:bottom w:w="0" w:type="dxa"/>
            <w:right w:w="108" w:type="dxa"/>
          </w:tblCellMar>
        </w:tblPrEx>
        <w:trPr>
          <w:trHeight w:val="960" w:hRule="atLeast"/>
        </w:trPr>
        <w:tc>
          <w:tcPr>
            <w:tcW w:w="690"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中</w:t>
            </w:r>
          </w:p>
          <w:p>
            <w:pPr>
              <w:spacing w:line="400" w:lineRule="exact"/>
              <w:jc w:val="center"/>
              <w:rPr>
                <w:rFonts w:ascii="微软雅黑" w:hAnsi="微软雅黑" w:cs="宋体"/>
                <w:color w:val="000000"/>
                <w:sz w:val="18"/>
                <w:szCs w:val="18"/>
              </w:rPr>
            </w:pPr>
            <w:r>
              <w:rPr>
                <w:rFonts w:hint="eastAsia" w:ascii="仿宋_GB2312" w:eastAsia="仿宋_GB2312"/>
                <w:sz w:val="24"/>
              </w:rPr>
              <w:t>型</w:t>
            </w:r>
          </w:p>
        </w:tc>
        <w:tc>
          <w:tcPr>
            <w:tcW w:w="915"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因灾死亡和失踪3人（含）以上、10人以下</w:t>
            </w:r>
          </w:p>
        </w:tc>
        <w:tc>
          <w:tcPr>
            <w:tcW w:w="915"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100万元（含）以上500万元以下</w:t>
            </w:r>
          </w:p>
        </w:tc>
        <w:tc>
          <w:tcPr>
            <w:tcW w:w="1248"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　</w:t>
            </w:r>
          </w:p>
        </w:tc>
        <w:tc>
          <w:tcPr>
            <w:tcW w:w="851"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100人（含）以上500人以下</w:t>
            </w:r>
          </w:p>
        </w:tc>
        <w:tc>
          <w:tcPr>
            <w:tcW w:w="993"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500万元（含）以上5000万元以下</w:t>
            </w:r>
          </w:p>
        </w:tc>
        <w:tc>
          <w:tcPr>
            <w:tcW w:w="1558" w:type="dxa"/>
            <w:vMerge w:val="restart"/>
            <w:tcBorders>
              <w:top w:val="nil"/>
              <w:left w:val="single" w:color="auto" w:sz="4" w:space="0"/>
              <w:bottom w:val="single" w:color="auto" w:sz="4" w:space="0"/>
              <w:right w:val="single" w:color="auto" w:sz="4" w:space="0"/>
            </w:tcBorders>
            <w:vAlign w:val="center"/>
          </w:tcPr>
          <w:p>
            <w:pPr>
              <w:spacing w:line="400" w:lineRule="exact"/>
              <w:rPr>
                <w:rFonts w:ascii="微软雅黑" w:hAnsi="微软雅黑" w:cs="宋体"/>
                <w:color w:val="000000"/>
                <w:sz w:val="18"/>
                <w:szCs w:val="18"/>
              </w:rPr>
            </w:pPr>
            <w:r>
              <w:rPr>
                <w:rFonts w:hint="eastAsia" w:ascii="微软雅黑" w:hAnsi="微软雅黑" w:cs="宋体"/>
                <w:color w:val="000000"/>
                <w:sz w:val="18"/>
                <w:szCs w:val="18"/>
              </w:rPr>
              <w:t>市人民政府立即启动相应的应急预案，组织市应急指挥部成员单位和地质灾害发生地的区人民政府开展应急处置工作。</w:t>
            </w:r>
          </w:p>
        </w:tc>
        <w:tc>
          <w:tcPr>
            <w:tcW w:w="2268" w:type="dxa"/>
            <w:vMerge w:val="restart"/>
            <w:tcBorders>
              <w:top w:val="nil"/>
              <w:left w:val="single" w:color="auto" w:sz="4" w:space="0"/>
              <w:bottom w:val="single" w:color="auto" w:sz="4" w:space="0"/>
              <w:right w:val="single" w:color="auto" w:sz="4" w:space="0"/>
            </w:tcBorders>
            <w:vAlign w:val="center"/>
          </w:tcPr>
          <w:p>
            <w:pPr>
              <w:spacing w:line="400" w:lineRule="exact"/>
              <w:rPr>
                <w:rFonts w:ascii="微软雅黑" w:hAnsi="微软雅黑" w:cs="宋体"/>
                <w:color w:val="000000"/>
                <w:sz w:val="18"/>
                <w:szCs w:val="18"/>
              </w:rPr>
            </w:pPr>
            <w:r>
              <w:rPr>
                <w:rFonts w:hint="eastAsia" w:ascii="微软雅黑" w:hAnsi="微软雅黑" w:cs="宋体"/>
                <w:color w:val="000000"/>
                <w:sz w:val="18"/>
                <w:szCs w:val="18"/>
              </w:rPr>
              <w:t>区人民政府应立即启动相关的应急预案，成立抢险救灾指挥部，采取应急处置措施，评估受灾或受威胁情况，判定地质灾害引发因素、灾害体规模等。根据地质灾害灾情和险情，组织群众转移避灾，情况危急时应强制组织受威胁群众疏散避灾，并组织开展抢救被压埋人员和应急排险等工作。</w:t>
            </w:r>
          </w:p>
        </w:tc>
      </w:tr>
      <w:tr>
        <w:tblPrEx>
          <w:tblLayout w:type="fixed"/>
          <w:tblCellMar>
            <w:top w:w="0" w:type="dxa"/>
            <w:left w:w="108" w:type="dxa"/>
            <w:bottom w:w="0" w:type="dxa"/>
            <w:right w:w="108" w:type="dxa"/>
          </w:tblCellMar>
        </w:tblPrEx>
        <w:trPr>
          <w:trHeight w:val="583" w:hRule="atLeast"/>
        </w:trPr>
        <w:tc>
          <w:tcPr>
            <w:tcW w:w="690" w:type="dxa"/>
            <w:vMerge w:val="continue"/>
            <w:tcBorders>
              <w:top w:val="nil"/>
              <w:left w:val="single" w:color="auto" w:sz="4" w:space="0"/>
              <w:bottom w:val="single" w:color="auto" w:sz="4" w:space="0"/>
              <w:right w:val="single" w:color="auto" w:sz="4" w:space="0"/>
            </w:tcBorders>
            <w:vAlign w:val="center"/>
          </w:tcPr>
          <w:p>
            <w:pPr>
              <w:spacing w:line="400" w:lineRule="exact"/>
              <w:rPr>
                <w:rFonts w:ascii="微软雅黑" w:hAnsi="微软雅黑" w:cs="宋体"/>
                <w:color w:val="000000"/>
                <w:sz w:val="18"/>
                <w:szCs w:val="18"/>
              </w:rPr>
            </w:pPr>
          </w:p>
        </w:tc>
        <w:tc>
          <w:tcPr>
            <w:tcW w:w="915" w:type="dxa"/>
            <w:vMerge w:val="continue"/>
            <w:tcBorders>
              <w:top w:val="nil"/>
              <w:left w:val="single" w:color="auto" w:sz="4" w:space="0"/>
              <w:bottom w:val="single" w:color="auto" w:sz="4" w:space="0"/>
              <w:right w:val="single" w:color="auto" w:sz="4" w:space="0"/>
            </w:tcBorders>
            <w:vAlign w:val="center"/>
          </w:tcPr>
          <w:p>
            <w:pPr>
              <w:spacing w:line="400" w:lineRule="exact"/>
              <w:rPr>
                <w:rFonts w:ascii="微软雅黑" w:hAnsi="微软雅黑" w:cs="宋体"/>
                <w:color w:val="000000"/>
                <w:sz w:val="18"/>
                <w:szCs w:val="18"/>
              </w:rPr>
            </w:pPr>
          </w:p>
        </w:tc>
        <w:tc>
          <w:tcPr>
            <w:tcW w:w="915" w:type="dxa"/>
            <w:vMerge w:val="continue"/>
            <w:tcBorders>
              <w:top w:val="nil"/>
              <w:left w:val="single" w:color="auto" w:sz="4" w:space="0"/>
              <w:bottom w:val="single" w:color="auto" w:sz="4" w:space="0"/>
              <w:right w:val="single" w:color="auto" w:sz="4" w:space="0"/>
            </w:tcBorders>
            <w:vAlign w:val="center"/>
          </w:tcPr>
          <w:p>
            <w:pPr>
              <w:spacing w:line="400" w:lineRule="exact"/>
              <w:rPr>
                <w:rFonts w:ascii="微软雅黑" w:hAnsi="微软雅黑" w:cs="宋体"/>
                <w:color w:val="000000"/>
                <w:sz w:val="18"/>
                <w:szCs w:val="18"/>
              </w:rPr>
            </w:pPr>
          </w:p>
        </w:tc>
        <w:tc>
          <w:tcPr>
            <w:tcW w:w="1248" w:type="dxa"/>
            <w:vMerge w:val="continue"/>
            <w:tcBorders>
              <w:top w:val="nil"/>
              <w:left w:val="single" w:color="auto" w:sz="4" w:space="0"/>
              <w:bottom w:val="single" w:color="auto" w:sz="4" w:space="0"/>
              <w:right w:val="single" w:color="auto" w:sz="4" w:space="0"/>
            </w:tcBorders>
            <w:vAlign w:val="center"/>
          </w:tcPr>
          <w:p>
            <w:pPr>
              <w:spacing w:line="400" w:lineRule="exact"/>
              <w:rPr>
                <w:rFonts w:ascii="微软雅黑" w:hAnsi="微软雅黑" w:cs="宋体"/>
                <w:color w:val="00000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spacing w:line="400" w:lineRule="exact"/>
              <w:rPr>
                <w:rFonts w:ascii="微软雅黑" w:hAnsi="微软雅黑" w:cs="宋体"/>
                <w:color w:val="000000"/>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spacing w:line="400" w:lineRule="exact"/>
              <w:rPr>
                <w:rFonts w:ascii="微软雅黑" w:hAnsi="微软雅黑" w:cs="宋体"/>
                <w:color w:val="000000"/>
                <w:sz w:val="18"/>
                <w:szCs w:val="18"/>
              </w:rPr>
            </w:pPr>
          </w:p>
        </w:tc>
        <w:tc>
          <w:tcPr>
            <w:tcW w:w="1558" w:type="dxa"/>
            <w:vMerge w:val="continue"/>
            <w:tcBorders>
              <w:top w:val="nil"/>
              <w:left w:val="single" w:color="auto" w:sz="4" w:space="0"/>
              <w:bottom w:val="single" w:color="auto" w:sz="4" w:space="0"/>
              <w:right w:val="single" w:color="auto" w:sz="4" w:space="0"/>
            </w:tcBorders>
            <w:vAlign w:val="center"/>
          </w:tcPr>
          <w:p>
            <w:pPr>
              <w:spacing w:line="400" w:lineRule="exact"/>
              <w:rPr>
                <w:rFonts w:ascii="微软雅黑" w:hAnsi="微软雅黑" w:cs="宋体"/>
                <w:color w:val="000000"/>
                <w:sz w:val="18"/>
                <w:szCs w:val="18"/>
              </w:rPr>
            </w:pPr>
          </w:p>
        </w:tc>
        <w:tc>
          <w:tcPr>
            <w:tcW w:w="2268" w:type="dxa"/>
            <w:vMerge w:val="continue"/>
            <w:tcBorders>
              <w:top w:val="nil"/>
              <w:left w:val="single" w:color="auto" w:sz="4" w:space="0"/>
              <w:bottom w:val="single" w:color="auto" w:sz="4" w:space="0"/>
              <w:right w:val="single" w:color="auto" w:sz="4" w:space="0"/>
            </w:tcBorders>
            <w:vAlign w:val="center"/>
          </w:tcPr>
          <w:p>
            <w:pPr>
              <w:spacing w:line="400" w:lineRule="exact"/>
              <w:rPr>
                <w:rFonts w:ascii="微软雅黑" w:hAnsi="微软雅黑" w:cs="宋体"/>
                <w:color w:val="000000"/>
                <w:sz w:val="18"/>
                <w:szCs w:val="18"/>
              </w:rPr>
            </w:pPr>
          </w:p>
        </w:tc>
      </w:tr>
      <w:tr>
        <w:tblPrEx>
          <w:tblLayout w:type="fixed"/>
          <w:tblCellMar>
            <w:top w:w="0" w:type="dxa"/>
            <w:left w:w="108" w:type="dxa"/>
            <w:bottom w:w="0" w:type="dxa"/>
            <w:right w:w="108" w:type="dxa"/>
          </w:tblCellMar>
        </w:tblPrEx>
        <w:trPr>
          <w:trHeight w:val="1393" w:hRule="atLeast"/>
        </w:trPr>
        <w:tc>
          <w:tcPr>
            <w:tcW w:w="690"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小</w:t>
            </w:r>
          </w:p>
          <w:p>
            <w:pPr>
              <w:spacing w:line="400" w:lineRule="exact"/>
              <w:jc w:val="center"/>
              <w:rPr>
                <w:rFonts w:ascii="微软雅黑" w:hAnsi="微软雅黑" w:cs="宋体"/>
                <w:color w:val="000000"/>
                <w:sz w:val="18"/>
                <w:szCs w:val="18"/>
              </w:rPr>
            </w:pPr>
            <w:r>
              <w:rPr>
                <w:rFonts w:hint="eastAsia" w:ascii="仿宋_GB2312" w:eastAsia="仿宋_GB2312"/>
                <w:sz w:val="24"/>
              </w:rPr>
              <w:t>型</w:t>
            </w:r>
          </w:p>
        </w:tc>
        <w:tc>
          <w:tcPr>
            <w:tcW w:w="915" w:type="dxa"/>
            <w:tcBorders>
              <w:top w:val="nil"/>
              <w:left w:val="single" w:color="auto" w:sz="4" w:space="0"/>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因灾死亡和失踪3人以下</w:t>
            </w:r>
          </w:p>
        </w:tc>
        <w:tc>
          <w:tcPr>
            <w:tcW w:w="915" w:type="dxa"/>
            <w:tcBorders>
              <w:top w:val="nil"/>
              <w:left w:val="single" w:color="auto" w:sz="4" w:space="0"/>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100万元以下</w:t>
            </w:r>
          </w:p>
        </w:tc>
        <w:tc>
          <w:tcPr>
            <w:tcW w:w="1248" w:type="dxa"/>
            <w:tcBorders>
              <w:top w:val="nil"/>
              <w:left w:val="single" w:color="auto" w:sz="4" w:space="0"/>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　</w:t>
            </w:r>
          </w:p>
        </w:tc>
        <w:tc>
          <w:tcPr>
            <w:tcW w:w="851" w:type="dxa"/>
            <w:tcBorders>
              <w:top w:val="nil"/>
              <w:left w:val="single" w:color="auto" w:sz="4" w:space="0"/>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100人以下</w:t>
            </w:r>
          </w:p>
        </w:tc>
        <w:tc>
          <w:tcPr>
            <w:tcW w:w="993" w:type="dxa"/>
            <w:tcBorders>
              <w:top w:val="nil"/>
              <w:left w:val="single" w:color="auto" w:sz="4" w:space="0"/>
              <w:bottom w:val="single" w:color="auto" w:sz="4" w:space="0"/>
              <w:right w:val="single" w:color="auto" w:sz="4" w:space="0"/>
            </w:tcBorders>
            <w:vAlign w:val="center"/>
          </w:tcPr>
          <w:p>
            <w:pPr>
              <w:spacing w:line="400" w:lineRule="exact"/>
              <w:jc w:val="center"/>
              <w:rPr>
                <w:rFonts w:ascii="微软雅黑" w:hAnsi="微软雅黑" w:cs="宋体"/>
                <w:color w:val="000000"/>
                <w:sz w:val="18"/>
                <w:szCs w:val="18"/>
              </w:rPr>
            </w:pPr>
            <w:r>
              <w:rPr>
                <w:rFonts w:hint="eastAsia" w:ascii="微软雅黑" w:hAnsi="微软雅黑" w:cs="宋体"/>
                <w:color w:val="000000"/>
                <w:sz w:val="18"/>
                <w:szCs w:val="18"/>
              </w:rPr>
              <w:t>500万元以下</w:t>
            </w:r>
          </w:p>
        </w:tc>
        <w:tc>
          <w:tcPr>
            <w:tcW w:w="1558" w:type="dxa"/>
            <w:tcBorders>
              <w:top w:val="nil"/>
              <w:left w:val="single" w:color="auto" w:sz="4" w:space="0"/>
              <w:bottom w:val="single" w:color="auto" w:sz="4" w:space="0"/>
              <w:right w:val="single" w:color="auto" w:sz="4" w:space="0"/>
            </w:tcBorders>
            <w:vAlign w:val="center"/>
          </w:tcPr>
          <w:p>
            <w:pPr>
              <w:spacing w:line="400" w:lineRule="exact"/>
              <w:rPr>
                <w:rFonts w:ascii="微软雅黑" w:hAnsi="微软雅黑" w:cs="宋体"/>
                <w:color w:val="000000"/>
                <w:sz w:val="18"/>
                <w:szCs w:val="18"/>
              </w:rPr>
            </w:pPr>
            <w:r>
              <w:rPr>
                <w:rFonts w:hint="eastAsia" w:ascii="微软雅黑" w:hAnsi="微软雅黑" w:cs="宋体"/>
                <w:color w:val="000000"/>
                <w:sz w:val="18"/>
                <w:szCs w:val="18"/>
              </w:rPr>
              <w:t>视情况市人民政府支持、协助区人民政府开展地质灾害应急处置工作。</w:t>
            </w:r>
          </w:p>
        </w:tc>
        <w:tc>
          <w:tcPr>
            <w:tcW w:w="2268" w:type="dxa"/>
            <w:tcBorders>
              <w:top w:val="nil"/>
              <w:left w:val="single" w:color="auto" w:sz="4" w:space="0"/>
              <w:bottom w:val="single" w:color="auto" w:sz="4" w:space="0"/>
              <w:right w:val="single" w:color="auto" w:sz="4" w:space="0"/>
            </w:tcBorders>
            <w:vAlign w:val="center"/>
          </w:tcPr>
          <w:p>
            <w:pPr>
              <w:spacing w:line="400" w:lineRule="exact"/>
              <w:rPr>
                <w:rFonts w:ascii="微软雅黑" w:hAnsi="微软雅黑" w:cs="宋体"/>
                <w:color w:val="000000"/>
                <w:sz w:val="18"/>
                <w:szCs w:val="18"/>
              </w:rPr>
            </w:pPr>
            <w:r>
              <w:rPr>
                <w:rFonts w:hint="eastAsia" w:ascii="微软雅黑" w:hAnsi="微软雅黑" w:cs="宋体"/>
                <w:color w:val="000000"/>
                <w:sz w:val="18"/>
                <w:szCs w:val="18"/>
              </w:rPr>
              <w:t>区人民政府应立即启动相关的应急预案和抢险救灾指挥系统，组织镇人民政府、街道办事处和应急指挥部成员单位赶赴现场，开展应急处置工作（灾害体规模较小、危害程度较低的小型地质灾害，在区政府领导下，由镇人民政府、街道办事处组织开展应急处置工作）。</w:t>
            </w:r>
          </w:p>
        </w:tc>
      </w:tr>
    </w:tbl>
    <w:p>
      <w:pPr>
        <w:spacing w:line="400" w:lineRule="exact"/>
        <w:rPr>
          <w:rFonts w:eastAsia="方正小标宋简体"/>
          <w:sz w:val="42"/>
          <w:szCs w:val="44"/>
        </w:rPr>
      </w:pPr>
    </w:p>
    <w:sectPr>
      <w:footerReference r:id="rId3" w:type="default"/>
      <w:pgSz w:w="11906" w:h="16838"/>
      <w:pgMar w:top="1440" w:right="1797" w:bottom="1134" w:left="1797" w:header="851" w:footer="1247" w:gutter="0"/>
      <w:pgNumType w:fmt="numberInDash" w:start="1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HiddenHorzOCl">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Fonts w:ascii="仿宋_GB2312" w:eastAsia="仿宋_GB2312"/>
        <w:sz w:val="28"/>
        <w:szCs w:val="28"/>
      </w:rPr>
    </w:pPr>
    <w:r>
      <w:rPr>
        <w:rStyle w:val="9"/>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Style w:val="9"/>
        <w:rFonts w:hint="eastAsia" w:ascii="仿宋_GB2312" w:eastAsia="仿宋_GB2312"/>
        <w:sz w:val="28"/>
        <w:szCs w:val="28"/>
      </w:rPr>
      <w:fldChar w:fldCharType="separate"/>
    </w:r>
    <w:r>
      <w:rPr>
        <w:rStyle w:val="9"/>
        <w:rFonts w:ascii="仿宋_GB2312" w:eastAsia="仿宋_GB2312"/>
        <w:sz w:val="28"/>
        <w:szCs w:val="28"/>
      </w:rPr>
      <w:t>- 11 -</w:t>
    </w:r>
    <w:r>
      <w:rPr>
        <w:rStyle w:val="9"/>
        <w:rFonts w:hint="eastAsia" w:ascii="仿宋_GB2312" w:eastAsia="仿宋_GB2312"/>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6BB9"/>
    <w:rsid w:val="00036CC0"/>
    <w:rsid w:val="00037272"/>
    <w:rsid w:val="00041F52"/>
    <w:rsid w:val="00091B03"/>
    <w:rsid w:val="000F6EBF"/>
    <w:rsid w:val="0019045D"/>
    <w:rsid w:val="001E573A"/>
    <w:rsid w:val="001F0D2B"/>
    <w:rsid w:val="001F5915"/>
    <w:rsid w:val="002B0F8B"/>
    <w:rsid w:val="002B39BD"/>
    <w:rsid w:val="002D3145"/>
    <w:rsid w:val="002F756C"/>
    <w:rsid w:val="00323428"/>
    <w:rsid w:val="0039399A"/>
    <w:rsid w:val="00395FF8"/>
    <w:rsid w:val="003B3440"/>
    <w:rsid w:val="003B4641"/>
    <w:rsid w:val="003D2CD5"/>
    <w:rsid w:val="003D5351"/>
    <w:rsid w:val="00410785"/>
    <w:rsid w:val="00482FF3"/>
    <w:rsid w:val="004A7DBD"/>
    <w:rsid w:val="004C47B3"/>
    <w:rsid w:val="004E7FAA"/>
    <w:rsid w:val="004F0B2B"/>
    <w:rsid w:val="00517956"/>
    <w:rsid w:val="00542554"/>
    <w:rsid w:val="00551334"/>
    <w:rsid w:val="00602A64"/>
    <w:rsid w:val="006A78DB"/>
    <w:rsid w:val="006B7F74"/>
    <w:rsid w:val="006D30BF"/>
    <w:rsid w:val="006F44DA"/>
    <w:rsid w:val="007158AD"/>
    <w:rsid w:val="007164CD"/>
    <w:rsid w:val="007437DF"/>
    <w:rsid w:val="0076568B"/>
    <w:rsid w:val="007A5434"/>
    <w:rsid w:val="007C2E18"/>
    <w:rsid w:val="007D169F"/>
    <w:rsid w:val="007E2716"/>
    <w:rsid w:val="007E2748"/>
    <w:rsid w:val="00832F18"/>
    <w:rsid w:val="008627E2"/>
    <w:rsid w:val="0086709A"/>
    <w:rsid w:val="008B3A9E"/>
    <w:rsid w:val="008D2299"/>
    <w:rsid w:val="0091008C"/>
    <w:rsid w:val="00934AAE"/>
    <w:rsid w:val="00934FD3"/>
    <w:rsid w:val="009667C4"/>
    <w:rsid w:val="00976BB9"/>
    <w:rsid w:val="009A0275"/>
    <w:rsid w:val="009B1A93"/>
    <w:rsid w:val="009C1D42"/>
    <w:rsid w:val="009D00A8"/>
    <w:rsid w:val="00A069E9"/>
    <w:rsid w:val="00A227C0"/>
    <w:rsid w:val="00A856A1"/>
    <w:rsid w:val="00AE6805"/>
    <w:rsid w:val="00B153FE"/>
    <w:rsid w:val="00B1785E"/>
    <w:rsid w:val="00BB4E05"/>
    <w:rsid w:val="00BD2499"/>
    <w:rsid w:val="00BF0FFF"/>
    <w:rsid w:val="00C13648"/>
    <w:rsid w:val="00C27AD8"/>
    <w:rsid w:val="00C402CE"/>
    <w:rsid w:val="00C50552"/>
    <w:rsid w:val="00C5650E"/>
    <w:rsid w:val="00CA5EBA"/>
    <w:rsid w:val="00CB2577"/>
    <w:rsid w:val="00CC7331"/>
    <w:rsid w:val="00D07B9E"/>
    <w:rsid w:val="00D10CA4"/>
    <w:rsid w:val="00D12F8F"/>
    <w:rsid w:val="00D46825"/>
    <w:rsid w:val="00D66E0E"/>
    <w:rsid w:val="00DA15A8"/>
    <w:rsid w:val="00DE3238"/>
    <w:rsid w:val="00DF1964"/>
    <w:rsid w:val="00E36556"/>
    <w:rsid w:val="00E9188F"/>
    <w:rsid w:val="00E93B43"/>
    <w:rsid w:val="00EB562F"/>
    <w:rsid w:val="00F00C61"/>
    <w:rsid w:val="00F0336E"/>
    <w:rsid w:val="00F52D3F"/>
    <w:rsid w:val="00F57FA0"/>
    <w:rsid w:val="00F62348"/>
    <w:rsid w:val="00FA5172"/>
    <w:rsid w:val="00FB05CD"/>
    <w:rsid w:val="00FC2066"/>
    <w:rsid w:val="00FF1F82"/>
    <w:rsid w:val="00FF5E5B"/>
    <w:rsid w:val="03117E6B"/>
    <w:rsid w:val="105A0504"/>
    <w:rsid w:val="119014AC"/>
    <w:rsid w:val="16E22C79"/>
    <w:rsid w:val="191E67D0"/>
    <w:rsid w:val="1B3B0C65"/>
    <w:rsid w:val="237A0626"/>
    <w:rsid w:val="244770AE"/>
    <w:rsid w:val="305A2E3F"/>
    <w:rsid w:val="335036F7"/>
    <w:rsid w:val="38E51E0A"/>
    <w:rsid w:val="3E67429F"/>
    <w:rsid w:val="5DE005BF"/>
    <w:rsid w:val="68586911"/>
    <w:rsid w:val="694217B1"/>
    <w:rsid w:val="74C45974"/>
    <w:rsid w:val="77161CC2"/>
    <w:rsid w:val="7A9611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link w:val="17"/>
    <w:unhideWhenUsed/>
    <w:qFormat/>
    <w:uiPriority w:val="0"/>
    <w:pPr>
      <w:widowControl w:val="0"/>
      <w:spacing w:line="300" w:lineRule="exact"/>
      <w:jc w:val="both"/>
    </w:pPr>
    <w:rPr>
      <w:rFonts w:ascii="Times New Roman" w:hAnsi="Times New Roman" w:eastAsia="宋体" w:cs="Times New Roman"/>
      <w:kern w:val="2"/>
      <w:sz w:val="21"/>
      <w:szCs w:val="28"/>
      <w:lang w:val="en-US" w:eastAsia="zh-CN" w:bidi="ar-SA"/>
    </w:rPr>
  </w:style>
  <w:style w:type="paragraph" w:styleId="3">
    <w:name w:val="Plain Text"/>
    <w:link w:val="14"/>
    <w:qFormat/>
    <w:uiPriority w:val="0"/>
    <w:pPr>
      <w:widowControl w:val="0"/>
      <w:jc w:val="both"/>
    </w:pPr>
    <w:rPr>
      <w:rFonts w:ascii="宋体" w:hAnsi="宋体" w:eastAsia="宋体" w:cs="Courier New"/>
      <w:kern w:val="2"/>
      <w:sz w:val="21"/>
      <w:szCs w:val="21"/>
      <w:lang w:val="en-US" w:eastAsia="zh-CN" w:bidi="ar-SA"/>
    </w:rPr>
  </w:style>
  <w:style w:type="paragraph" w:styleId="4">
    <w:name w:val="Date"/>
    <w:basedOn w:val="1"/>
    <w:next w:val="1"/>
    <w:qFormat/>
    <w:uiPriority w:val="0"/>
    <w:rPr>
      <w:rFonts w:hint="eastAsia" w:ascii="仿宋_GB2312" w:eastAsia="仿宋_GB2312" w:cs="Garamond"/>
      <w:sz w:val="30"/>
      <w:szCs w:val="20"/>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1">
    <w:name w:val="Char"/>
    <w:basedOn w:val="1"/>
    <w:qFormat/>
    <w:uiPriority w:val="0"/>
    <w:rPr>
      <w:rFonts w:ascii="仿宋_GB2312" w:eastAsia="仿宋_GB2312"/>
      <w:b/>
      <w:sz w:val="32"/>
      <w:szCs w:val="32"/>
    </w:rPr>
  </w:style>
  <w:style w:type="paragraph" w:customStyle="1" w:styleId="12">
    <w:name w:val="Default"/>
    <w:qFormat/>
    <w:uiPriority w:val="0"/>
    <w:pPr>
      <w:widowControl w:val="0"/>
      <w:autoSpaceDE w:val="0"/>
      <w:autoSpaceDN w:val="0"/>
      <w:adjustRightInd w:val="0"/>
    </w:pPr>
    <w:rPr>
      <w:rFonts w:ascii="HiddenHorzOCl" w:hAnsi="Times New Roman" w:eastAsia="HiddenHorzOCl" w:cs="HiddenHorzOCl"/>
      <w:color w:val="000000"/>
      <w:sz w:val="24"/>
      <w:szCs w:val="24"/>
      <w:lang w:val="en-US" w:eastAsia="zh-CN" w:bidi="ar-SA"/>
    </w:rPr>
  </w:style>
  <w:style w:type="character" w:customStyle="1" w:styleId="13">
    <w:name w:val="页眉 Char"/>
    <w:link w:val="7"/>
    <w:qFormat/>
    <w:uiPriority w:val="0"/>
    <w:rPr>
      <w:kern w:val="2"/>
      <w:sz w:val="18"/>
      <w:szCs w:val="18"/>
    </w:rPr>
  </w:style>
  <w:style w:type="character" w:customStyle="1" w:styleId="14">
    <w:name w:val="纯文本 Char"/>
    <w:link w:val="3"/>
    <w:qFormat/>
    <w:uiPriority w:val="0"/>
    <w:rPr>
      <w:rFonts w:ascii="宋体" w:hAnsi="宋体" w:cs="Courier New"/>
      <w:kern w:val="2"/>
      <w:sz w:val="21"/>
      <w:szCs w:val="21"/>
      <w:lang w:val="en-US" w:eastAsia="zh-CN" w:bidi="ar-SA"/>
    </w:rPr>
  </w:style>
  <w:style w:type="character" w:customStyle="1" w:styleId="15">
    <w:name w:val="批注框文本 Char"/>
    <w:link w:val="5"/>
    <w:qFormat/>
    <w:uiPriority w:val="0"/>
    <w:rPr>
      <w:kern w:val="2"/>
      <w:sz w:val="18"/>
      <w:szCs w:val="18"/>
    </w:rPr>
  </w:style>
  <w:style w:type="character" w:customStyle="1" w:styleId="16">
    <w:name w:val="正文文本 Char"/>
    <w:basedOn w:val="8"/>
    <w:link w:val="2"/>
    <w:qFormat/>
    <w:uiPriority w:val="0"/>
    <w:rPr>
      <w:kern w:val="2"/>
      <w:sz w:val="21"/>
      <w:szCs w:val="24"/>
    </w:rPr>
  </w:style>
  <w:style w:type="character" w:customStyle="1" w:styleId="17">
    <w:name w:val="正文文本 Char1"/>
    <w:link w:val="2"/>
    <w:qFormat/>
    <w:uiPriority w:val="0"/>
    <w:rPr>
      <w:kern w:val="2"/>
      <w:sz w:val="21"/>
      <w:szCs w:val="2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408</Words>
  <Characters>2330</Characters>
  <Lines>19</Lines>
  <Paragraphs>5</Paragraphs>
  <TotalTime>16</TotalTime>
  <ScaleCrop>false</ScaleCrop>
  <LinksUpToDate>false</LinksUpToDate>
  <CharactersWithSpaces>2733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2022-03-29T06:41:00Z</dcterms:created>
  <dc:creator>周雅静</dc:creator>
  <cp:lastModifiedBy>DELL</cp:lastModifiedBy>
  <cp:lastPrinted>2022-03-29T02:52:00Z</cp:lastPrinted>
  <dcterms:modified xsi:type="dcterms:W3CDTF">2022-03-30T01:20:44Z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