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900" w:rsidRDefault="00BC3900" w:rsidP="00BC3900">
      <w:pPr>
        <w:widowControl/>
        <w:jc w:val="center"/>
        <w:rPr>
          <w:rFonts w:ascii="华文中宋" w:eastAsia="华文中宋" w:hAnsi="华文中宋" w:cs="方正小标宋简体"/>
          <w:b/>
          <w:sz w:val="36"/>
          <w:szCs w:val="36"/>
        </w:rPr>
      </w:pPr>
      <w:r>
        <w:rPr>
          <w:rFonts w:ascii="华文中宋" w:eastAsia="华文中宋" w:hAnsi="华文中宋" w:cs="方正小标宋简体" w:hint="eastAsia"/>
          <w:b/>
          <w:sz w:val="36"/>
          <w:szCs w:val="36"/>
        </w:rPr>
        <w:t>厦门市金融业发展专项规划（2019—2025）</w:t>
      </w:r>
    </w:p>
    <w:p w:rsidR="00BC3900" w:rsidRDefault="00BC3900" w:rsidP="00BC3900">
      <w:pPr>
        <w:ind w:firstLineChars="200" w:firstLine="640"/>
        <w:rPr>
          <w:rFonts w:ascii="黑体" w:eastAsia="黑体" w:cs="黑体"/>
          <w:sz w:val="32"/>
          <w:szCs w:val="32"/>
        </w:rPr>
      </w:pPr>
    </w:p>
    <w:p w:rsidR="00BC3900" w:rsidRDefault="00BC3900" w:rsidP="00BC3900">
      <w:pPr>
        <w:spacing w:line="620" w:lineRule="exact"/>
        <w:ind w:firstLineChars="200" w:firstLine="640"/>
        <w:rPr>
          <w:rFonts w:ascii="黑体" w:eastAsia="黑体" w:cs="黑体"/>
          <w:sz w:val="32"/>
          <w:szCs w:val="32"/>
        </w:rPr>
      </w:pPr>
      <w:r>
        <w:rPr>
          <w:rFonts w:ascii="黑体" w:eastAsia="黑体" w:cs="黑体" w:hint="eastAsia"/>
          <w:sz w:val="32"/>
          <w:szCs w:val="32"/>
        </w:rPr>
        <w:t>一、前言</w:t>
      </w:r>
    </w:p>
    <w:p w:rsidR="00BC3900" w:rsidRDefault="00BC3900" w:rsidP="00BC3900">
      <w:pPr>
        <w:spacing w:line="620" w:lineRule="exact"/>
        <w:ind w:firstLineChars="200" w:firstLine="640"/>
        <w:rPr>
          <w:rFonts w:ascii="仿宋_GB2312" w:eastAsia="仿宋_GB2312"/>
          <w:sz w:val="32"/>
          <w:szCs w:val="32"/>
        </w:rPr>
      </w:pPr>
      <w:r>
        <w:rPr>
          <w:rFonts w:ascii="仿宋_GB2312" w:eastAsia="仿宋_GB2312" w:hint="eastAsia"/>
          <w:sz w:val="32"/>
          <w:szCs w:val="32"/>
        </w:rPr>
        <w:t>金融是现代经济的核心。改革开放以来，厦门金融业与经济特区建设同步发展，经历了从小到大、从单一到丰富、从低级到高级的发展阶段，</w:t>
      </w:r>
      <w:r>
        <w:rPr>
          <w:rFonts w:ascii="仿宋_GB2312" w:eastAsia="仿宋_GB2312" w:cs="仿宋_GB2312" w:hint="eastAsia"/>
          <w:sz w:val="32"/>
          <w:szCs w:val="32"/>
        </w:rPr>
        <w:t>保持快速健康发展态势，金融机构体系日益健全，区域金融改革深入推进，金融服务实体经济能力显著增强，厦台金融合作亮点突出，金融已</w:t>
      </w:r>
      <w:r>
        <w:rPr>
          <w:rFonts w:ascii="仿宋_GB2312" w:eastAsia="仿宋_GB2312" w:hint="eastAsia"/>
          <w:sz w:val="32"/>
          <w:szCs w:val="32"/>
        </w:rPr>
        <w:t>成为厦门市重要的支柱产业。</w:t>
      </w:r>
    </w:p>
    <w:p w:rsidR="00BC3900" w:rsidRDefault="00BC3900" w:rsidP="00BC3900">
      <w:pPr>
        <w:spacing w:line="62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1986年，时任厦门市委常委、常务副市长的习近平同志主持制订的《1985年</w:t>
      </w:r>
      <w:r w:rsidR="003E440C">
        <w:rPr>
          <w:rFonts w:ascii="仿宋_GB2312" w:eastAsia="仿宋_GB2312" w:cs="仿宋_GB2312" w:hint="eastAsia"/>
          <w:sz w:val="32"/>
          <w:szCs w:val="32"/>
        </w:rPr>
        <w:t>～</w:t>
      </w:r>
      <w:r>
        <w:rPr>
          <w:rFonts w:ascii="仿宋_GB2312" w:eastAsia="仿宋_GB2312" w:cs="仿宋_GB2312" w:hint="eastAsia"/>
          <w:sz w:val="32"/>
          <w:szCs w:val="32"/>
        </w:rPr>
        <w:t>2000年厦门经济社会发展战略》提出了厦门建设面向华南和东南亚金融中心的中长期目标。2010年，国务院批准厦门建设两岸区域性金融服务中心，并在《厦门市深化两岸交流合作综合配套改革试验总体方案》中明确，支持厦门“根据国家金融业对外开放的总体部署，推动金融体制创新、产品创新和管理创新，扩大金融服务范围，加快建设辐射海西、服务两岸的区域性金融服务中心”。当前，厦门正在全面建设高素质创新创业之城、高颜值生态花园之城和现代化、国际化城市，为大力建设金融强市，促进经济高质量发展，特编制本规划。</w:t>
      </w:r>
      <w:r>
        <w:rPr>
          <w:rFonts w:ascii="仿宋_GB2312" w:eastAsia="仿宋_GB2312" w:cs="仿宋_GB2312" w:hint="eastAsia"/>
          <w:color w:val="000000"/>
          <w:kern w:val="0"/>
          <w:sz w:val="32"/>
          <w:szCs w:val="32"/>
        </w:rPr>
        <w:t>规划期为</w:t>
      </w:r>
      <w:r>
        <w:rPr>
          <w:rFonts w:ascii="仿宋_GB2312" w:eastAsia="仿宋_GB2312" w:cs="仿宋_GB2312" w:hint="eastAsia"/>
          <w:sz w:val="32"/>
          <w:szCs w:val="32"/>
        </w:rPr>
        <w:t xml:space="preserve"> 2019</w:t>
      </w:r>
      <w:r w:rsidR="003E440C">
        <w:rPr>
          <w:rFonts w:ascii="仿宋_GB2312" w:eastAsia="仿宋_GB2312" w:cs="仿宋_GB2312" w:hint="eastAsia"/>
          <w:sz w:val="32"/>
          <w:szCs w:val="32"/>
        </w:rPr>
        <w:t>～</w:t>
      </w:r>
      <w:r>
        <w:rPr>
          <w:rFonts w:ascii="仿宋_GB2312" w:eastAsia="仿宋_GB2312" w:cs="仿宋_GB2312" w:hint="eastAsia"/>
          <w:sz w:val="32"/>
          <w:szCs w:val="32"/>
        </w:rPr>
        <w:t>2025</w:t>
      </w:r>
      <w:r>
        <w:rPr>
          <w:rFonts w:ascii="仿宋_GB2312" w:eastAsia="仿宋_GB2312" w:cs="仿宋_GB2312" w:hint="eastAsia"/>
          <w:color w:val="000000"/>
          <w:kern w:val="0"/>
          <w:sz w:val="32"/>
          <w:szCs w:val="32"/>
        </w:rPr>
        <w:t>年，展望至</w:t>
      </w:r>
      <w:r>
        <w:rPr>
          <w:rFonts w:ascii="仿宋_GB2312" w:eastAsia="仿宋_GB2312" w:cs="仿宋_GB2312" w:hint="eastAsia"/>
          <w:sz w:val="32"/>
          <w:szCs w:val="32"/>
        </w:rPr>
        <w:t>2030</w:t>
      </w:r>
      <w:r>
        <w:rPr>
          <w:rFonts w:ascii="仿宋_GB2312" w:eastAsia="仿宋_GB2312" w:cs="仿宋_GB2312" w:hint="eastAsia"/>
          <w:color w:val="000000"/>
          <w:kern w:val="0"/>
          <w:sz w:val="32"/>
          <w:szCs w:val="32"/>
        </w:rPr>
        <w:t>年。</w:t>
      </w:r>
    </w:p>
    <w:p w:rsidR="00BC3900" w:rsidRDefault="00BC3900" w:rsidP="00BC3900">
      <w:pPr>
        <w:spacing w:line="620" w:lineRule="exact"/>
        <w:ind w:firstLineChars="200" w:firstLine="640"/>
        <w:rPr>
          <w:rFonts w:ascii="黑体" w:eastAsia="黑体" w:cs="黑体"/>
          <w:sz w:val="32"/>
          <w:szCs w:val="32"/>
        </w:rPr>
      </w:pPr>
      <w:r>
        <w:rPr>
          <w:rFonts w:ascii="黑体" w:eastAsia="黑体" w:cs="黑体" w:hint="eastAsia"/>
          <w:sz w:val="32"/>
          <w:szCs w:val="32"/>
        </w:rPr>
        <w:t>二、背景和条件</w:t>
      </w:r>
    </w:p>
    <w:p w:rsidR="00BC3900" w:rsidRDefault="00BC3900" w:rsidP="00BC3900">
      <w:pPr>
        <w:spacing w:line="620" w:lineRule="exact"/>
        <w:ind w:firstLineChars="200" w:firstLine="643"/>
        <w:rPr>
          <w:rFonts w:ascii="楷体_GB2312" w:eastAsia="楷体_GB2312"/>
          <w:b/>
          <w:sz w:val="32"/>
          <w:szCs w:val="32"/>
        </w:rPr>
      </w:pPr>
      <w:r>
        <w:rPr>
          <w:rFonts w:ascii="楷体_GB2312" w:eastAsia="楷体_GB2312" w:hint="eastAsia"/>
          <w:b/>
          <w:sz w:val="32"/>
          <w:szCs w:val="32"/>
        </w:rPr>
        <w:lastRenderedPageBreak/>
        <w:t>（一）优势与基础</w:t>
      </w:r>
    </w:p>
    <w:p w:rsidR="00BC3900" w:rsidRDefault="00BC3900" w:rsidP="00BC3900">
      <w:pPr>
        <w:spacing w:line="62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1.金融产业绩效持续向好。</w:t>
      </w:r>
      <w:r>
        <w:rPr>
          <w:rFonts w:ascii="仿宋_GB2312" w:eastAsia="仿宋_GB2312" w:cs="仿宋_GB2312" w:hint="eastAsia"/>
          <w:sz w:val="32"/>
          <w:szCs w:val="32"/>
        </w:rPr>
        <w:t>2018年实现金融业增加值 524.2亿元，2010</w:t>
      </w:r>
      <w:r w:rsidR="003E440C">
        <w:rPr>
          <w:rFonts w:ascii="仿宋_GB2312" w:eastAsia="仿宋_GB2312" w:cs="仿宋_GB2312" w:hint="eastAsia"/>
          <w:sz w:val="32"/>
          <w:szCs w:val="32"/>
        </w:rPr>
        <w:t>～</w:t>
      </w:r>
      <w:r>
        <w:rPr>
          <w:rFonts w:ascii="仿宋_GB2312" w:eastAsia="仿宋_GB2312" w:cs="仿宋_GB2312" w:hint="eastAsia"/>
          <w:sz w:val="32"/>
          <w:szCs w:val="32"/>
        </w:rPr>
        <w:t>2018年均复合增长达 17.3%，占地方生产总值的10.9%，对全市第三产业增长贡献率达 14.2%。金融服务业在 2015 年起率先成为厦门三大营收突破千亿元的产业链群之一，2018年全面实现营业收入 1528.8 亿元，总资产接近2万亿元，实现税收176.4亿元，占全市税收总额的 15.6%。截至2018年底，厦门金融机构本外币存款余额10995.00亿元、贷款余额 10554.05亿元，2010</w:t>
      </w:r>
      <w:r w:rsidR="003E440C">
        <w:rPr>
          <w:rFonts w:ascii="仿宋_GB2312" w:eastAsia="仿宋_GB2312" w:cs="仿宋_GB2312" w:hint="eastAsia"/>
          <w:sz w:val="32"/>
          <w:szCs w:val="32"/>
        </w:rPr>
        <w:t>～</w:t>
      </w:r>
      <w:r>
        <w:rPr>
          <w:rFonts w:ascii="仿宋_GB2312" w:eastAsia="仿宋_GB2312" w:cs="仿宋_GB2312" w:hint="eastAsia"/>
          <w:sz w:val="32"/>
          <w:szCs w:val="32"/>
        </w:rPr>
        <w:t xml:space="preserve">2018年均分别复合增长12.0%、 14.3%，保险深度（保费收入/GDP）4.39%，保险密度（保费收入/常住人口）5121.8元/人，保持全国、全省领先地位。 </w:t>
      </w:r>
    </w:p>
    <w:p w:rsidR="00BC3900" w:rsidRDefault="00BC3900" w:rsidP="00BC3900">
      <w:pPr>
        <w:spacing w:line="620" w:lineRule="exact"/>
        <w:ind w:firstLineChars="200" w:firstLine="643"/>
        <w:rPr>
          <w:rFonts w:ascii="仿宋_GB2312" w:eastAsia="仿宋_GB2312" w:cs="仿宋_GB2312"/>
          <w:b/>
          <w:bCs/>
          <w:sz w:val="32"/>
          <w:szCs w:val="32"/>
        </w:rPr>
      </w:pPr>
      <w:r>
        <w:rPr>
          <w:rFonts w:ascii="仿宋_GB2312" w:eastAsia="仿宋_GB2312" w:cs="仿宋_GB2312" w:hint="eastAsia"/>
          <w:b/>
          <w:bCs/>
          <w:sz w:val="32"/>
          <w:szCs w:val="32"/>
        </w:rPr>
        <w:t>2.金融机构实力不断增长。</w:t>
      </w:r>
      <w:r>
        <w:rPr>
          <w:rFonts w:ascii="仿宋_GB2312" w:eastAsia="仿宋_GB2312" w:cs="仿宋_GB2312" w:hint="eastAsia"/>
          <w:sz w:val="32"/>
          <w:szCs w:val="32"/>
        </w:rPr>
        <w:t>金融机构门类不断健全，截至2018年底，辖区内银、证、保金融机构 256家，地方金融机构795家，以银行、证券、保险机构为主体、新型金融业态为辅助的现代金融组织体系基本成型。外资、合资金融机构数量领先，截至2018年底在厦外资银行（含代表处）15家，台资背景金融机构12家，全省首家两岸合资的证券投资基金公司圆信永丰基金管理公司、大陆首家两岸合资消费金融公司厦门金美信消费金融公司先后获批开业。</w:t>
      </w:r>
    </w:p>
    <w:p w:rsidR="00BC3900" w:rsidRDefault="00BC3900" w:rsidP="00BC3900">
      <w:pPr>
        <w:spacing w:line="600" w:lineRule="exact"/>
        <w:rPr>
          <w:rFonts w:ascii="仿宋_GB2312" w:eastAsia="仿宋_GB2312" w:cs="仿宋_GB2312"/>
          <w:bCs/>
          <w:sz w:val="32"/>
          <w:szCs w:val="32"/>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4140"/>
        <w:gridCol w:w="1620"/>
        <w:gridCol w:w="1978"/>
      </w:tblGrid>
      <w:tr w:rsidR="00BC3900" w:rsidTr="006F7FD3">
        <w:tc>
          <w:tcPr>
            <w:tcW w:w="8565" w:type="dxa"/>
            <w:gridSpan w:val="4"/>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b/>
                <w:bCs/>
                <w:sz w:val="28"/>
                <w:szCs w:val="28"/>
              </w:rPr>
            </w:pPr>
            <w:r>
              <w:rPr>
                <w:rFonts w:ascii="仿宋_GB2312" w:eastAsia="仿宋_GB2312" w:cs="仿宋_GB2312" w:hint="eastAsia"/>
                <w:b/>
                <w:bCs/>
                <w:sz w:val="28"/>
                <w:szCs w:val="28"/>
              </w:rPr>
              <w:t>专栏：在厦外资、合资金融机构名录（含台港澳资）</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b/>
                <w:bCs/>
                <w:sz w:val="28"/>
                <w:szCs w:val="28"/>
              </w:rPr>
            </w:pPr>
            <w:r>
              <w:rPr>
                <w:rFonts w:ascii="仿宋_GB2312" w:eastAsia="仿宋_GB2312" w:cs="仿宋_GB2312" w:hint="eastAsia"/>
                <w:b/>
                <w:bCs/>
                <w:sz w:val="28"/>
                <w:szCs w:val="28"/>
              </w:rPr>
              <w:t>序号</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b/>
                <w:bCs/>
                <w:sz w:val="28"/>
                <w:szCs w:val="28"/>
              </w:rPr>
            </w:pPr>
            <w:r>
              <w:rPr>
                <w:rFonts w:ascii="仿宋_GB2312" w:eastAsia="仿宋_GB2312" w:cs="仿宋_GB2312" w:hint="eastAsia"/>
                <w:b/>
                <w:bCs/>
                <w:sz w:val="28"/>
                <w:szCs w:val="28"/>
              </w:rPr>
              <w:t>金融机构</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b/>
                <w:bCs/>
                <w:sz w:val="28"/>
                <w:szCs w:val="28"/>
              </w:rPr>
            </w:pPr>
            <w:r>
              <w:rPr>
                <w:rFonts w:ascii="仿宋_GB2312" w:eastAsia="仿宋_GB2312" w:cs="仿宋_GB2312" w:hint="eastAsia"/>
                <w:b/>
                <w:bCs/>
                <w:sz w:val="28"/>
                <w:szCs w:val="28"/>
              </w:rPr>
              <w:t>国家/地区</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b/>
                <w:bCs/>
                <w:sz w:val="28"/>
                <w:szCs w:val="28"/>
              </w:rPr>
            </w:pPr>
            <w:r>
              <w:rPr>
                <w:rFonts w:ascii="仿宋_GB2312" w:eastAsia="仿宋_GB2312" w:cs="仿宋_GB2312" w:hint="eastAsia"/>
                <w:b/>
                <w:bCs/>
                <w:sz w:val="28"/>
                <w:szCs w:val="28"/>
              </w:rPr>
              <w:t>恢复设立时间</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lastRenderedPageBreak/>
              <w:t>1</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大华银行厦门分行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新加坡</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1985年9月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集友银行厦门分行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香港</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1985年12月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3</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汇丰银行厦门分行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香港</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1986年4月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4</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美国建东银行厦门分行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美国</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1986年5月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5</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渣打银行厦门分行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香港</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1986年12月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6</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东亚银行厦门分行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香港</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1991年1月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7</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华侨永亨银行厦门分行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新加坡</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1991年5月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8</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日本瑞穗银行厦门代表处</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日本</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1991年12月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9</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新联商业银行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菲律宾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1993年10月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10</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厦门银行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1996年11月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11</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美国华美银行厦门代表处</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美国</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2006年9月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12</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陆家嘴国泰人寿保险厦门分公司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2007年11月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13</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统一证券厦门代表处</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2008年10月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14</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君龙人寿保险有限公司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2008年12月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15</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东方汇理银行厦门分行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法国</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2009年7月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16</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盘谷银行厦门分行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泰国</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2009年12月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17</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富邦财产保险有限公司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2010年10月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18</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国泰财产保险厦门中心支公司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2010年11月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19</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恒生银行厦门分行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香港</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2012年3月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20</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圆信永丰基金管理公司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2014年2月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21</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一银租赁（厦门）有限公司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2014年3月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22</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第一商业银行厦门分行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2015年5月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23</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富邦证股权投资基金有限公司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2016年6月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24</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中国信托商业银行厦门分行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2016年7月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25</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首都银行厦门分行</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菲律宾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2018年1月</w:t>
            </w:r>
          </w:p>
        </w:tc>
      </w:tr>
      <w:tr w:rsidR="00BC3900" w:rsidTr="006F7FD3">
        <w:tc>
          <w:tcPr>
            <w:tcW w:w="827"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jc w:val="center"/>
              <w:rPr>
                <w:rFonts w:ascii="仿宋_GB2312" w:eastAsia="仿宋_GB2312" w:cs="仿宋_GB2312"/>
                <w:sz w:val="28"/>
                <w:szCs w:val="28"/>
              </w:rPr>
            </w:pPr>
            <w:r>
              <w:rPr>
                <w:rFonts w:ascii="仿宋_GB2312" w:eastAsia="仿宋_GB2312" w:cs="仿宋_GB2312" w:hint="eastAsia"/>
                <w:sz w:val="28"/>
                <w:szCs w:val="28"/>
              </w:rPr>
              <w:t>26</w:t>
            </w:r>
          </w:p>
        </w:tc>
        <w:tc>
          <w:tcPr>
            <w:tcW w:w="414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厦门金美信消费金融有限公司</w:t>
            </w:r>
          </w:p>
        </w:tc>
        <w:tc>
          <w:tcPr>
            <w:tcW w:w="1620"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台湾</w:t>
            </w:r>
          </w:p>
        </w:tc>
        <w:tc>
          <w:tcPr>
            <w:tcW w:w="1978" w:type="dxa"/>
            <w:tcBorders>
              <w:top w:val="single" w:sz="4" w:space="0" w:color="auto"/>
              <w:left w:val="single" w:sz="4" w:space="0" w:color="auto"/>
              <w:bottom w:val="single" w:sz="4" w:space="0" w:color="auto"/>
              <w:right w:val="single" w:sz="4" w:space="0" w:color="auto"/>
            </w:tcBorders>
          </w:tcPr>
          <w:p w:rsidR="00BC3900" w:rsidRDefault="00BC3900" w:rsidP="006F7FD3">
            <w:pPr>
              <w:spacing w:line="400" w:lineRule="exact"/>
              <w:rPr>
                <w:rFonts w:ascii="仿宋_GB2312" w:eastAsia="仿宋_GB2312" w:cs="仿宋_GB2312"/>
                <w:sz w:val="28"/>
                <w:szCs w:val="28"/>
              </w:rPr>
            </w:pPr>
            <w:r>
              <w:rPr>
                <w:rFonts w:ascii="仿宋_GB2312" w:eastAsia="仿宋_GB2312" w:cs="仿宋_GB2312" w:hint="eastAsia"/>
                <w:sz w:val="28"/>
                <w:szCs w:val="28"/>
              </w:rPr>
              <w:t>2018年9月</w:t>
            </w:r>
          </w:p>
        </w:tc>
      </w:tr>
    </w:tbl>
    <w:p w:rsidR="00BC3900" w:rsidRDefault="00BC3900" w:rsidP="00BC3900">
      <w:pPr>
        <w:spacing w:line="600" w:lineRule="exact"/>
        <w:ind w:firstLineChars="200" w:firstLine="643"/>
        <w:rPr>
          <w:rFonts w:ascii="仿宋_GB2312" w:eastAsia="仿宋_GB2312" w:cs="仿宋_GB2312"/>
          <w:b/>
          <w:bCs/>
          <w:sz w:val="32"/>
          <w:szCs w:val="32"/>
        </w:rPr>
      </w:pPr>
    </w:p>
    <w:p w:rsidR="00BC3900" w:rsidRDefault="00BC3900" w:rsidP="00BC3900">
      <w:pPr>
        <w:spacing w:line="62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3.多层次资本市场加快发展。</w:t>
      </w:r>
      <w:r>
        <w:rPr>
          <w:rFonts w:ascii="仿宋_GB2312" w:eastAsia="仿宋_GB2312" w:cs="仿宋_GB2312" w:hint="eastAsia"/>
          <w:sz w:val="32"/>
          <w:szCs w:val="32"/>
        </w:rPr>
        <w:t>资本市场利用水平不断提升,上市公司“厦门板块”初具规模，截至 2018 年底，厦门境内上市公司47家，占全省 35%，新三板展示挂牌企业144家，占全省 40.79%，均为全省第一。瑞幸咖啡、飞鱼科</w:t>
      </w:r>
      <w:r>
        <w:rPr>
          <w:rFonts w:ascii="仿宋_GB2312" w:eastAsia="仿宋_GB2312" w:cs="仿宋_GB2312" w:hint="eastAsia"/>
          <w:sz w:val="32"/>
          <w:szCs w:val="32"/>
        </w:rPr>
        <w:lastRenderedPageBreak/>
        <w:t>技等一批优质互联网企业成功赴美股、港股等境外资本市场上市。完善上市及拟上市企业跟踪服务机制，厦门两岸股权交易中心成为海西经济区股权交易市场的核心机构，截至2018年底挂牌展示企业2275家,其中台资板企业232家。与上交所共建资本市场（厦门）服务基地、与深交所联合打造闽南科技金融路演中心。</w:t>
      </w:r>
    </w:p>
    <w:p w:rsidR="00BC3900" w:rsidRDefault="00BC3900" w:rsidP="00BC3900">
      <w:pPr>
        <w:spacing w:line="62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4.服务两岸及“一带一路”作用突出。</w:t>
      </w:r>
      <w:r>
        <w:rPr>
          <w:rFonts w:ascii="仿宋_GB2312" w:eastAsia="仿宋_GB2312" w:cs="仿宋_GB2312" w:hint="eastAsia"/>
          <w:sz w:val="32"/>
          <w:szCs w:val="32"/>
        </w:rPr>
        <w:t>金融服务呈现区域化、两岸化和国际化发展趋势，国际金融业务不断拓展，</w:t>
      </w:r>
      <w:r>
        <w:rPr>
          <w:rFonts w:ascii="仿宋_GB2312" w:eastAsia="仿宋_GB2312" w:cs="仿宋_GB2312" w:hint="eastAsia"/>
          <w:sz w:val="32"/>
          <w:szCs w:val="32"/>
          <w:shd w:val="clear" w:color="auto" w:fill="FFFFFF"/>
        </w:rPr>
        <w:t>为企业“走出去”提供融资和相关配套支持</w:t>
      </w:r>
      <w:r>
        <w:rPr>
          <w:rFonts w:ascii="仿宋_GB2312" w:eastAsia="仿宋_GB2312" w:cs="仿宋_GB2312" w:hint="eastAsia"/>
          <w:sz w:val="32"/>
          <w:szCs w:val="32"/>
        </w:rPr>
        <w:t>。先后开创对台跨境人民币贷款、现钞调运等多个“第一”，建设银行、农业银行、平安银行等总行在厦设立两岸人民币清算中心，建成集两岸人民币跨境双向融资、清算、现钞调运与反假币为一体的两岸货币业务合作支点。厦门国际银行是国内唯一在香港、澳门均设有子行的城商行。瑞达期货、国贸期货分别在香港收购、设立期货类子公司。国家开发银行厦门分行获总行授权管理印尼、东帝汶等国家授信项目并发放境外人民币贷款。招商银行、交通银行、浦发银行、平安银行总行在厦设立离岸银行业务中心。自2010年6月开展跨境人民币结算以来，结算金额从2011年的246.4亿元快速发展到2018年的1062.41亿元，年均增长23.3%，累计业务总量已突破万亿元，业务覆盖境外161个国家（地区）。跨海峡人民币代理清算群从台湾地区拓展到“海丝”沿线为主的17个国</w:t>
      </w:r>
      <w:r>
        <w:rPr>
          <w:rFonts w:ascii="仿宋_GB2312" w:eastAsia="仿宋_GB2312" w:cs="仿宋_GB2312" w:hint="eastAsia"/>
          <w:sz w:val="32"/>
          <w:szCs w:val="32"/>
        </w:rPr>
        <w:lastRenderedPageBreak/>
        <w:t>家和地区，累计开设78对人民币代理清算账户，清算金额突破千亿元。</w:t>
      </w:r>
    </w:p>
    <w:p w:rsidR="00BC3900" w:rsidRDefault="00BC3900" w:rsidP="00BC3900">
      <w:pPr>
        <w:spacing w:line="62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5.特色金融创新成效初显。</w:t>
      </w:r>
      <w:r>
        <w:rPr>
          <w:rFonts w:ascii="仿宋_GB2312" w:eastAsia="仿宋_GB2312" w:cs="仿宋_GB2312" w:hint="eastAsia"/>
          <w:sz w:val="32"/>
          <w:szCs w:val="32"/>
        </w:rPr>
        <w:t>区域财富管理功能显现，中金、鼎晖、红杉等知名私募投资机构在厦集聚，截至2018年底已备案私募基金管理人363家，位列全国第11位，在厦注册私募基金规模1282.2亿元，政府产业引导基金跻身全国四强。金融科技产业初现规模，引进趣店集团等知名互联网新经济企业。建设银行在厦设立建信金融科技事业群，开展核心科技产品研发。地方金融资产交易市场率先实施区块链交易创新。启动全国首个地方金融非现场监管系统建设。绿色金融业务在全国率先起步，出台银证保三大领域绿色金融发展意见，建立完善“绿色清单”，鼓励绿色金融创新，截至2018年底，绿色信贷余额173.1亿元，增长14.3%，绿色减排成效突出。建成自贸区融资租赁基地，截至2018年底，通过融资租赁累计引进飞机103架，租赁金额70.5亿美元，成为全国第三大飞机融资租赁集聚区。与上海黄金交易所开展战略合作，辖内主体获批交易所交易会员、指定交割仓库及合格黄金精炼厂，海峡黄金珠宝产业园开园运营。</w:t>
      </w:r>
    </w:p>
    <w:p w:rsidR="00BC3900" w:rsidRDefault="00BC3900" w:rsidP="00BC3900">
      <w:pPr>
        <w:spacing w:line="620" w:lineRule="exact"/>
        <w:ind w:firstLineChars="200" w:firstLine="643"/>
        <w:rPr>
          <w:rFonts w:ascii="仿宋_GB2312" w:eastAsia="仿宋_GB2312" w:cs="仿宋_GB2312"/>
          <w:sz w:val="32"/>
          <w:szCs w:val="32"/>
        </w:rPr>
      </w:pPr>
      <w:r>
        <w:rPr>
          <w:rFonts w:ascii="仿宋_GB2312" w:eastAsia="仿宋_GB2312" w:cs="仿宋_GB2312" w:hint="eastAsia"/>
          <w:b/>
          <w:bCs/>
          <w:sz w:val="32"/>
          <w:szCs w:val="32"/>
        </w:rPr>
        <w:t>6.金融营商环境优化完善。</w:t>
      </w:r>
      <w:r>
        <w:rPr>
          <w:rFonts w:ascii="仿宋_GB2312" w:eastAsia="仿宋_GB2312" w:cs="仿宋_GB2312" w:hint="eastAsia"/>
          <w:sz w:val="32"/>
          <w:szCs w:val="32"/>
        </w:rPr>
        <w:t>推进金融商事制度改革，在自贸区试点“全程电子化登记”。先后出台《厦门经济特区促进两岸区域性金融服务中心建设条例》《关于促进金融业加快发展的意见》《关于推进企业上市的意见》《厦门市高层</w:t>
      </w:r>
      <w:r>
        <w:rPr>
          <w:rFonts w:ascii="仿宋_GB2312" w:eastAsia="仿宋_GB2312" w:cs="仿宋_GB2312" w:hint="eastAsia"/>
          <w:sz w:val="32"/>
          <w:szCs w:val="32"/>
        </w:rPr>
        <w:lastRenderedPageBreak/>
        <w:t>次紧缺型金融人才计划暂行办法》等法规文件，结合自贸试验区建设，出台了股权投资、融资租赁、小额贷款等专项扶持政策，加大新兴金融业态扶持力度。加强地方金融行业自律，推动组建副省级城市首个地方金融协会。健全金融风险监测体系，在全国率先开发运行金融风险防控预警平台，及时发现风险苗头，做到打早打小，近年来全辖区未发生重大金融风险事件。“两岸金融中心”核心区建设稳步推进，按照国际金融功能区和高端商务区的规划定位和建设标准，优化空间布局，片区集聚态势初显，截至2018年底，已有平安银行、招商银行、京东金融、中国人寿等1024个企业项目落户，总注册资金937.9亿元。</w:t>
      </w:r>
    </w:p>
    <w:p w:rsidR="00BC3900" w:rsidRDefault="00BC3900" w:rsidP="00BC3900">
      <w:pPr>
        <w:spacing w:line="620" w:lineRule="exact"/>
        <w:ind w:firstLineChars="200" w:firstLine="643"/>
        <w:rPr>
          <w:rFonts w:ascii="楷体_GB2312" w:eastAsia="楷体_GB2312"/>
          <w:b/>
          <w:sz w:val="32"/>
          <w:szCs w:val="32"/>
        </w:rPr>
      </w:pPr>
      <w:r>
        <w:rPr>
          <w:rFonts w:ascii="楷体_GB2312" w:eastAsia="楷体_GB2312" w:hint="eastAsia"/>
          <w:b/>
          <w:sz w:val="32"/>
          <w:szCs w:val="32"/>
        </w:rPr>
        <w:t>（二）机遇与挑战</w:t>
      </w:r>
    </w:p>
    <w:p w:rsidR="00BC3900" w:rsidRDefault="00BC3900" w:rsidP="00BC3900">
      <w:pPr>
        <w:spacing w:line="620" w:lineRule="exact"/>
        <w:ind w:firstLineChars="200" w:firstLine="643"/>
        <w:rPr>
          <w:rFonts w:ascii="楷体_GB2312" w:eastAsia="楷体_GB2312"/>
          <w:b/>
          <w:sz w:val="32"/>
          <w:szCs w:val="32"/>
        </w:rPr>
      </w:pPr>
      <w:r>
        <w:rPr>
          <w:rFonts w:ascii="仿宋" w:eastAsia="仿宋" w:cs="仿宋" w:hint="eastAsia"/>
          <w:b/>
          <w:sz w:val="32"/>
          <w:szCs w:val="32"/>
        </w:rPr>
        <w:t>1.机遇</w:t>
      </w:r>
    </w:p>
    <w:p w:rsidR="00BC3900" w:rsidRDefault="00BC3900" w:rsidP="00BC3900">
      <w:pPr>
        <w:spacing w:line="620" w:lineRule="exact"/>
        <w:ind w:firstLineChars="200" w:firstLine="640"/>
        <w:rPr>
          <w:rFonts w:ascii="仿宋_GB2312" w:eastAsia="仿宋_GB2312"/>
          <w:sz w:val="32"/>
          <w:szCs w:val="32"/>
        </w:rPr>
      </w:pPr>
      <w:bookmarkStart w:id="0" w:name="_Toc14854927"/>
      <w:bookmarkStart w:id="1" w:name="_Toc14858884"/>
      <w:r>
        <w:rPr>
          <w:rFonts w:ascii="仿宋_GB2312" w:eastAsia="仿宋_GB2312" w:hint="eastAsia"/>
          <w:sz w:val="32"/>
          <w:szCs w:val="32"/>
        </w:rPr>
        <w:t>首先，从国内外发展环境看，当前世界面临百年未有之大变局，全球经济金融治理体系正在重构，新兴经济体的影响力和国际地位逐渐提高，人民币国际化进程提速升级，亚太地区特别是中国金融中心城市实力增长迅速。厦门作为“海丝”支点城市，金融业迎来对接国际资本与人才、更大范围参与国际金融竞争合作的有利机会。厦门作为海峡西岸中心城市地位重要、作用独特，所在的海峡西岸经济区全面繁荣，关系到区域经济的发展与全局的关系，也关系到祖国和平统一事业的大局。</w:t>
      </w:r>
    </w:p>
    <w:p w:rsidR="00BC3900" w:rsidRDefault="00BC3900" w:rsidP="00BC3900">
      <w:pPr>
        <w:spacing w:line="620" w:lineRule="exact"/>
        <w:ind w:firstLineChars="200" w:firstLine="640"/>
        <w:rPr>
          <w:rFonts w:ascii="仿宋_GB2312" w:eastAsia="仿宋_GB2312"/>
          <w:sz w:val="32"/>
          <w:szCs w:val="32"/>
        </w:rPr>
      </w:pPr>
      <w:r>
        <w:rPr>
          <w:rFonts w:ascii="仿宋_GB2312" w:eastAsia="仿宋_GB2312" w:hint="eastAsia"/>
          <w:sz w:val="32"/>
          <w:szCs w:val="32"/>
        </w:rPr>
        <w:lastRenderedPageBreak/>
        <w:t>第二，从金融产业组织看，金融科技通过技术手段推动金融创新对金融市场、机构及金融服务产生重大影响，未来还将重塑金融业发展格局，为后发城市通过金融科技创新实现赶超创造了良好机遇。</w:t>
      </w:r>
      <w:r>
        <w:rPr>
          <w:rFonts w:ascii="仿宋_GB2312" w:eastAsia="仿宋_GB2312" w:cs="仿宋_GB2312" w:hint="eastAsia"/>
          <w:color w:val="000000"/>
          <w:kern w:val="0"/>
          <w:sz w:val="32"/>
          <w:szCs w:val="32"/>
        </w:rPr>
        <w:t>顺应我国社会财富快速增长和保值增值需求扩大的趋势，财富管理行业将释放较大发展潜力，有望成为金融业新“增长极”。</w:t>
      </w:r>
      <w:bookmarkEnd w:id="0"/>
      <w:bookmarkEnd w:id="1"/>
      <w:r>
        <w:rPr>
          <w:rFonts w:ascii="仿宋_GB2312" w:eastAsia="仿宋_GB2312" w:cs="仿宋_GB2312" w:hint="eastAsia"/>
          <w:color w:val="000000"/>
          <w:kern w:val="0"/>
          <w:sz w:val="32"/>
          <w:szCs w:val="32"/>
        </w:rPr>
        <w:t>金融业对外开放进入全面提速的新阶段，更多具有专业管理能力与雄厚资金实力的外资金融机构进入国内市场，金融业专业服务能力与国际化水平将得到有效提高。这</w:t>
      </w:r>
      <w:r>
        <w:rPr>
          <w:rFonts w:ascii="仿宋_GB2312" w:eastAsia="仿宋_GB2312" w:hint="eastAsia"/>
          <w:sz w:val="32"/>
          <w:szCs w:val="32"/>
        </w:rPr>
        <w:t>为厦门建设金融强市，实施金融科技创新、做强财富管理行业跨越发展、参与国家金融对外开放先行先试等带来了良好机遇。</w:t>
      </w:r>
    </w:p>
    <w:p w:rsidR="00BC3900" w:rsidRDefault="00BC3900" w:rsidP="00BC3900">
      <w:pPr>
        <w:spacing w:line="62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第三，从城市基础条件看，厦门因港立市、向海而生，是国际知名花园城市，生态环境宜商宜居，人文开放包容，营商环境排名位居全国前列。2017年厦门成功举办金砖国家领导人第九次会晤，城市国际知名度影响力大幅提升，国际化发展正值窗口期。对台合作特色明显，正积极打造台胞台企登陆发展的第一家园。华人华侨资源丰富，与海外经贸往来合作紧密。招商引资力度持续加大，以计算机与通信设备、半导体和集成电路为主的高端制造业，以软件和信息技术服务为代表的现代服务业，“互联网+”与消费、物流、金融等领域结合形成的新经济业态，已成为支撑厦门经济高质量发展的主要动力。厦门经济社会发展基本面持续向好，将为</w:t>
      </w:r>
      <w:r>
        <w:rPr>
          <w:rFonts w:ascii="仿宋_GB2312" w:eastAsia="仿宋_GB2312" w:cs="仿宋_GB2312" w:hint="eastAsia"/>
          <w:color w:val="000000"/>
          <w:kern w:val="0"/>
          <w:sz w:val="32"/>
          <w:szCs w:val="32"/>
        </w:rPr>
        <w:lastRenderedPageBreak/>
        <w:t>厦门市金融业的发展提供坚实基础。</w:t>
      </w:r>
    </w:p>
    <w:p w:rsidR="00BC3900" w:rsidRDefault="00BC3900" w:rsidP="00BC3900">
      <w:pPr>
        <w:spacing w:line="620" w:lineRule="exact"/>
        <w:ind w:firstLineChars="200" w:firstLine="643"/>
        <w:rPr>
          <w:rFonts w:ascii="仿宋" w:eastAsia="仿宋" w:cs="仿宋"/>
          <w:b/>
          <w:sz w:val="32"/>
          <w:szCs w:val="32"/>
        </w:rPr>
      </w:pPr>
      <w:r>
        <w:rPr>
          <w:rFonts w:ascii="仿宋" w:eastAsia="仿宋" w:cs="仿宋" w:hint="eastAsia"/>
          <w:b/>
          <w:sz w:val="32"/>
          <w:szCs w:val="32"/>
        </w:rPr>
        <w:t>2.挑战</w:t>
      </w:r>
    </w:p>
    <w:p w:rsidR="00BC3900" w:rsidRDefault="00BC3900" w:rsidP="00BC3900">
      <w:pPr>
        <w:spacing w:line="620" w:lineRule="exact"/>
        <w:ind w:firstLineChars="200" w:firstLine="640"/>
        <w:rPr>
          <w:rFonts w:ascii="仿宋_GB2312" w:eastAsia="仿宋_GB2312" w:cs="仿宋_GB2312"/>
          <w:color w:val="000000"/>
          <w:kern w:val="0"/>
          <w:sz w:val="32"/>
          <w:szCs w:val="32"/>
        </w:rPr>
      </w:pPr>
      <w:r>
        <w:rPr>
          <w:rFonts w:ascii="仿宋_GB2312" w:eastAsia="仿宋_GB2312" w:hint="eastAsia"/>
          <w:sz w:val="32"/>
          <w:szCs w:val="32"/>
        </w:rPr>
        <w:t>首先，从外部环境看，全球经济经济复苏缓慢且失衡，中美贸易摩擦未来预计将对外向型经济城市带来较大影响。</w:t>
      </w:r>
      <w:r>
        <w:rPr>
          <w:rFonts w:ascii="仿宋_GB2312" w:eastAsia="仿宋_GB2312" w:cs="仿宋_GB2312" w:hint="eastAsia"/>
          <w:color w:val="000000"/>
          <w:kern w:val="0"/>
          <w:sz w:val="32"/>
          <w:szCs w:val="32"/>
        </w:rPr>
        <w:t>经济“去杠杆”和金融严监管的大趋势在未来一段时期不会改变，防范化解金融风险仍是金融工作的重点，金融行业进入平稳发展阶段，爆发式增长很难再现。区域经济金融资源竞争加剧，厦门面临“长三角”和粤港澳大湾区的激烈竞争，对台政策优势空间也面临兄弟城市挑战和挤压。</w:t>
      </w:r>
    </w:p>
    <w:p w:rsidR="00BC3900" w:rsidRDefault="00BC3900" w:rsidP="00BC3900">
      <w:pPr>
        <w:widowControl/>
        <w:spacing w:line="62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第二，从内部环境看，厦门经济规模体量较小，传统金融业按原有发展路径进一步拓展的客源市场空间有限。厦门市金融机构密度远高于全国、全省平均水平，同业竞争加剧。本地法人机构少且规模偏小，金融基础设施、创新生态环境需进一步提升。受高房价、低收入的影响，厦门人口净流入较少，包括金融人才在内的专业人才存在总量不足和层次偏低的双重压力。</w:t>
      </w:r>
    </w:p>
    <w:p w:rsidR="00BC3900" w:rsidRDefault="00BC3900" w:rsidP="00BC3900">
      <w:pPr>
        <w:widowControl/>
        <w:spacing w:line="62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第三，从金融中心建设情况看，一直缺少区域性金融中心建设的系统性规划，</w:t>
      </w:r>
      <w:r w:rsidR="00615A61">
        <w:rPr>
          <w:rFonts w:ascii="仿宋_GB2312" w:eastAsia="仿宋_GB2312" w:cs="仿宋_GB2312" w:hint="eastAsia"/>
          <w:color w:val="000000"/>
          <w:kern w:val="0"/>
          <w:sz w:val="32"/>
          <w:szCs w:val="32"/>
        </w:rPr>
        <w:t>功能定位和核心业务不明确。现有的金融特色业务尚不具备支撑金融业</w:t>
      </w:r>
      <w:r>
        <w:rPr>
          <w:rFonts w:ascii="仿宋_GB2312" w:eastAsia="仿宋_GB2312" w:cs="仿宋_GB2312" w:hint="eastAsia"/>
          <w:color w:val="000000"/>
          <w:kern w:val="0"/>
          <w:sz w:val="32"/>
          <w:szCs w:val="32"/>
        </w:rPr>
        <w:t>向更高水平跨越发展的能力。</w:t>
      </w:r>
    </w:p>
    <w:p w:rsidR="00BC3900" w:rsidRDefault="00BC3900" w:rsidP="00BC3900">
      <w:pPr>
        <w:widowControl/>
        <w:spacing w:line="620" w:lineRule="exact"/>
        <w:rPr>
          <w:rFonts w:ascii="仿宋_GB2312" w:eastAsia="仿宋_GB2312" w:cs="仿宋_GB2312"/>
          <w:color w:val="000000"/>
          <w:kern w:val="0"/>
          <w:sz w:val="32"/>
          <w:szCs w:val="32"/>
        </w:rPr>
      </w:pPr>
    </w:p>
    <w:p w:rsidR="00BC3900" w:rsidRDefault="00BC3900" w:rsidP="00BC3900">
      <w:pPr>
        <w:spacing w:line="360" w:lineRule="auto"/>
        <w:rPr>
          <w:rFonts w:ascii="仿宋_GB2312" w:eastAsia="仿宋_GB2312"/>
          <w:b/>
          <w:sz w:val="28"/>
          <w:szCs w:val="28"/>
        </w:rPr>
      </w:pPr>
      <w:r>
        <w:rPr>
          <w:rFonts w:ascii="仿宋_GB2312" w:eastAsia="仿宋_GB2312" w:hint="eastAsia"/>
          <w:b/>
          <w:sz w:val="28"/>
          <w:szCs w:val="28"/>
        </w:rPr>
        <w:br w:type="page"/>
      </w:r>
    </w:p>
    <w:tbl>
      <w:tblPr>
        <w:tblW w:w="0" w:type="auto"/>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A0"/>
      </w:tblPr>
      <w:tblGrid>
        <w:gridCol w:w="3103"/>
        <w:gridCol w:w="3060"/>
        <w:gridCol w:w="2949"/>
      </w:tblGrid>
      <w:tr w:rsidR="00BC3900" w:rsidTr="006F7FD3">
        <w:trPr>
          <w:trHeight w:val="483"/>
          <w:tblHeader/>
          <w:jc w:val="center"/>
        </w:trPr>
        <w:tc>
          <w:tcPr>
            <w:tcW w:w="9112" w:type="dxa"/>
            <w:gridSpan w:val="3"/>
            <w:tcBorders>
              <w:top w:val="single" w:sz="2" w:space="0" w:color="auto"/>
              <w:left w:val="single" w:sz="2" w:space="0" w:color="auto"/>
              <w:bottom w:val="single" w:sz="2" w:space="0" w:color="auto"/>
              <w:right w:val="single" w:sz="2" w:space="0" w:color="auto"/>
            </w:tcBorders>
            <w:vAlign w:val="center"/>
          </w:tcPr>
          <w:p w:rsidR="00BC3900" w:rsidRDefault="00BC3900" w:rsidP="006F7FD3">
            <w:pPr>
              <w:widowControl/>
              <w:jc w:val="center"/>
              <w:rPr>
                <w:rFonts w:ascii="仿宋_GB2312" w:eastAsia="仿宋_GB2312"/>
                <w:b/>
                <w:bCs/>
                <w:sz w:val="28"/>
                <w:szCs w:val="28"/>
              </w:rPr>
            </w:pPr>
            <w:r>
              <w:rPr>
                <w:rFonts w:ascii="仿宋_GB2312" w:eastAsia="仿宋_GB2312" w:cs="仿宋_GB2312" w:hint="eastAsia"/>
                <w:b/>
                <w:bCs/>
                <w:kern w:val="0"/>
                <w:sz w:val="32"/>
                <w:szCs w:val="32"/>
              </w:rPr>
              <w:lastRenderedPageBreak/>
              <w:t>专栏 ：厦门金融产业发展SWOT分析矩阵</w:t>
            </w:r>
          </w:p>
        </w:tc>
      </w:tr>
      <w:tr w:rsidR="00BC3900" w:rsidTr="006F7FD3">
        <w:trPr>
          <w:trHeight w:val="2489"/>
          <w:jc w:val="center"/>
        </w:trPr>
        <w:tc>
          <w:tcPr>
            <w:tcW w:w="3103" w:type="dxa"/>
            <w:tcBorders>
              <w:top w:val="single" w:sz="2" w:space="0" w:color="auto"/>
              <w:left w:val="single" w:sz="2" w:space="0" w:color="auto"/>
              <w:bottom w:val="single" w:sz="2" w:space="0" w:color="auto"/>
              <w:right w:val="single" w:sz="2" w:space="0" w:color="auto"/>
              <w:tl2br w:val="single" w:sz="6" w:space="0" w:color="auto"/>
            </w:tcBorders>
            <w:tcMar>
              <w:top w:w="0" w:type="dxa"/>
              <w:left w:w="28" w:type="dxa"/>
              <w:bottom w:w="0" w:type="dxa"/>
              <w:right w:w="28" w:type="dxa"/>
            </w:tcMar>
            <w:vAlign w:val="center"/>
          </w:tcPr>
          <w:p w:rsidR="00BC3900" w:rsidRDefault="00BC3900" w:rsidP="006F7FD3">
            <w:pPr>
              <w:spacing w:before="120" w:after="120" w:line="400" w:lineRule="exact"/>
              <w:rPr>
                <w:rFonts w:ascii="仿宋_GB2312" w:eastAsia="仿宋_GB2312"/>
                <w:color w:val="FF0000"/>
                <w:sz w:val="28"/>
                <w:szCs w:val="28"/>
              </w:rPr>
            </w:pPr>
          </w:p>
        </w:tc>
        <w:tc>
          <w:tcPr>
            <w:tcW w:w="3060" w:type="dxa"/>
            <w:tcBorders>
              <w:top w:val="single" w:sz="2" w:space="0" w:color="auto"/>
              <w:left w:val="single" w:sz="2" w:space="0" w:color="auto"/>
              <w:bottom w:val="single" w:sz="2" w:space="0" w:color="auto"/>
              <w:right w:val="single" w:sz="2" w:space="0" w:color="auto"/>
            </w:tcBorders>
          </w:tcPr>
          <w:p w:rsidR="00BC3900" w:rsidRDefault="00BC3900" w:rsidP="006F7FD3">
            <w:pPr>
              <w:spacing w:line="400" w:lineRule="exact"/>
              <w:jc w:val="center"/>
              <w:rPr>
                <w:rFonts w:ascii="仿宋_GB2312" w:eastAsia="仿宋_GB2312"/>
                <w:b/>
                <w:sz w:val="28"/>
                <w:szCs w:val="28"/>
              </w:rPr>
            </w:pPr>
            <w:r>
              <w:rPr>
                <w:rFonts w:ascii="仿宋_GB2312" w:eastAsia="仿宋_GB2312" w:hint="eastAsia"/>
                <w:b/>
                <w:sz w:val="28"/>
                <w:szCs w:val="28"/>
              </w:rPr>
              <w:t>优势（S）</w:t>
            </w:r>
          </w:p>
          <w:p w:rsidR="00BC3900" w:rsidRDefault="00BC3900" w:rsidP="006F7FD3">
            <w:pPr>
              <w:spacing w:line="400" w:lineRule="exact"/>
              <w:rPr>
                <w:rFonts w:ascii="仿宋_GB2312" w:eastAsia="仿宋_GB2312"/>
                <w:sz w:val="28"/>
                <w:szCs w:val="28"/>
              </w:rPr>
            </w:pPr>
            <w:r>
              <w:rPr>
                <w:rFonts w:ascii="仿宋_GB2312" w:eastAsia="仿宋_GB2312" w:hint="eastAsia"/>
                <w:sz w:val="28"/>
                <w:szCs w:val="28"/>
              </w:rPr>
              <w:t>S1城市环境宜商宜居S2对台合作特色突出</w:t>
            </w:r>
          </w:p>
          <w:p w:rsidR="00BC3900" w:rsidRDefault="00BC3900" w:rsidP="006F7FD3">
            <w:pPr>
              <w:spacing w:line="400" w:lineRule="exact"/>
              <w:rPr>
                <w:rFonts w:ascii="仿宋_GB2312" w:eastAsia="仿宋_GB2312"/>
                <w:sz w:val="28"/>
                <w:szCs w:val="28"/>
              </w:rPr>
            </w:pPr>
            <w:r>
              <w:rPr>
                <w:rFonts w:ascii="仿宋_GB2312" w:eastAsia="仿宋_GB2312" w:hint="eastAsia"/>
                <w:sz w:val="28"/>
                <w:szCs w:val="28"/>
              </w:rPr>
              <w:t>S3对外开放水平高</w:t>
            </w:r>
          </w:p>
          <w:p w:rsidR="00BC3900" w:rsidRDefault="00BC3900" w:rsidP="006F7FD3">
            <w:pPr>
              <w:spacing w:line="400" w:lineRule="exact"/>
              <w:rPr>
                <w:rFonts w:ascii="仿宋_GB2312" w:eastAsia="仿宋_GB2312"/>
                <w:sz w:val="28"/>
                <w:szCs w:val="28"/>
              </w:rPr>
            </w:pPr>
            <w:r>
              <w:rPr>
                <w:rFonts w:ascii="仿宋_GB2312" w:eastAsia="仿宋_GB2312" w:hint="eastAsia"/>
                <w:sz w:val="28"/>
                <w:szCs w:val="28"/>
              </w:rPr>
              <w:t>S4信息技术产业发达</w:t>
            </w:r>
          </w:p>
          <w:p w:rsidR="00BC3900" w:rsidRDefault="00BC3900" w:rsidP="006F7FD3">
            <w:pPr>
              <w:spacing w:line="400" w:lineRule="exact"/>
              <w:rPr>
                <w:rFonts w:ascii="仿宋_GB2312" w:eastAsia="仿宋_GB2312"/>
                <w:color w:val="FF0000"/>
                <w:sz w:val="28"/>
                <w:szCs w:val="28"/>
              </w:rPr>
            </w:pPr>
            <w:r>
              <w:rPr>
                <w:rFonts w:ascii="仿宋_GB2312" w:eastAsia="仿宋_GB2312" w:hint="eastAsia"/>
                <w:sz w:val="28"/>
                <w:szCs w:val="28"/>
              </w:rPr>
              <w:t>S5华人华侨资源丰富</w:t>
            </w:r>
          </w:p>
        </w:tc>
        <w:tc>
          <w:tcPr>
            <w:tcW w:w="2949" w:type="dxa"/>
            <w:tcBorders>
              <w:top w:val="single" w:sz="2" w:space="0" w:color="auto"/>
              <w:left w:val="single" w:sz="2" w:space="0" w:color="auto"/>
              <w:bottom w:val="single" w:sz="2" w:space="0" w:color="auto"/>
              <w:right w:val="single" w:sz="2" w:space="0" w:color="auto"/>
            </w:tcBorders>
          </w:tcPr>
          <w:p w:rsidR="00BC3900" w:rsidRDefault="00BC3900" w:rsidP="006F7FD3">
            <w:pPr>
              <w:spacing w:line="400" w:lineRule="exact"/>
              <w:jc w:val="center"/>
              <w:rPr>
                <w:rFonts w:ascii="仿宋_GB2312" w:eastAsia="仿宋_GB2312"/>
                <w:b/>
                <w:sz w:val="28"/>
                <w:szCs w:val="28"/>
              </w:rPr>
            </w:pPr>
            <w:r>
              <w:rPr>
                <w:rFonts w:ascii="仿宋_GB2312" w:eastAsia="仿宋_GB2312" w:hint="eastAsia"/>
                <w:b/>
                <w:sz w:val="28"/>
                <w:szCs w:val="28"/>
              </w:rPr>
              <w:t>劣势（W）</w:t>
            </w:r>
          </w:p>
          <w:p w:rsidR="00BC3900" w:rsidRDefault="00BC3900" w:rsidP="006F7FD3">
            <w:pPr>
              <w:spacing w:line="400" w:lineRule="exact"/>
              <w:rPr>
                <w:rFonts w:ascii="仿宋_GB2312" w:eastAsia="仿宋_GB2312"/>
                <w:sz w:val="28"/>
                <w:szCs w:val="28"/>
              </w:rPr>
            </w:pPr>
            <w:r>
              <w:rPr>
                <w:rFonts w:ascii="仿宋_GB2312" w:eastAsia="仿宋_GB2312" w:hint="eastAsia"/>
                <w:sz w:val="28"/>
                <w:szCs w:val="28"/>
              </w:rPr>
              <w:t>W1法人机构实力不强</w:t>
            </w:r>
          </w:p>
          <w:p w:rsidR="00BC3900" w:rsidRDefault="00BC3900" w:rsidP="006F7FD3">
            <w:pPr>
              <w:spacing w:line="400" w:lineRule="exact"/>
              <w:rPr>
                <w:rFonts w:ascii="仿宋_GB2312" w:eastAsia="仿宋_GB2312"/>
                <w:spacing w:val="-20"/>
                <w:sz w:val="28"/>
                <w:szCs w:val="28"/>
              </w:rPr>
            </w:pPr>
            <w:r>
              <w:rPr>
                <w:rFonts w:ascii="仿宋_GB2312" w:eastAsia="仿宋_GB2312" w:hint="eastAsia"/>
                <w:spacing w:val="-20"/>
                <w:sz w:val="28"/>
                <w:szCs w:val="28"/>
              </w:rPr>
              <w:t>W2金融业务特色不突出</w:t>
            </w:r>
          </w:p>
          <w:p w:rsidR="00BC3900" w:rsidRDefault="00BC3900" w:rsidP="006F7FD3">
            <w:pPr>
              <w:spacing w:line="400" w:lineRule="exact"/>
              <w:rPr>
                <w:rFonts w:ascii="仿宋_GB2312" w:eastAsia="仿宋_GB2312"/>
                <w:spacing w:val="-20"/>
                <w:sz w:val="28"/>
                <w:szCs w:val="28"/>
              </w:rPr>
            </w:pPr>
            <w:r>
              <w:rPr>
                <w:rFonts w:ascii="仿宋_GB2312" w:eastAsia="仿宋_GB2312" w:hint="eastAsia"/>
                <w:spacing w:val="-20"/>
                <w:sz w:val="28"/>
                <w:szCs w:val="28"/>
              </w:rPr>
              <w:t>W3 金融中心路径不清晰</w:t>
            </w:r>
          </w:p>
          <w:p w:rsidR="00BC3900" w:rsidRDefault="00BC3900" w:rsidP="006F7FD3">
            <w:pPr>
              <w:spacing w:line="400" w:lineRule="exact"/>
              <w:rPr>
                <w:rFonts w:ascii="仿宋_GB2312" w:eastAsia="仿宋_GB2312"/>
                <w:sz w:val="28"/>
                <w:szCs w:val="28"/>
              </w:rPr>
            </w:pPr>
            <w:r>
              <w:rPr>
                <w:rFonts w:ascii="仿宋_GB2312" w:eastAsia="仿宋_GB2312" w:hint="eastAsia"/>
                <w:sz w:val="28"/>
                <w:szCs w:val="28"/>
              </w:rPr>
              <w:t>W4金融专业人才不足</w:t>
            </w:r>
          </w:p>
        </w:tc>
      </w:tr>
      <w:tr w:rsidR="00BC3900" w:rsidTr="006F7FD3">
        <w:trPr>
          <w:trHeight w:val="2112"/>
          <w:jc w:val="center"/>
        </w:trPr>
        <w:tc>
          <w:tcPr>
            <w:tcW w:w="310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tcPr>
          <w:p w:rsidR="00BC3900" w:rsidRDefault="00BC3900" w:rsidP="006F7FD3">
            <w:pPr>
              <w:spacing w:line="400" w:lineRule="exact"/>
              <w:jc w:val="center"/>
              <w:rPr>
                <w:rFonts w:ascii="仿宋_GB2312" w:eastAsia="仿宋_GB2312"/>
                <w:b/>
                <w:sz w:val="28"/>
                <w:szCs w:val="28"/>
              </w:rPr>
            </w:pPr>
            <w:r>
              <w:rPr>
                <w:rFonts w:ascii="仿宋_GB2312" w:eastAsia="仿宋_GB2312" w:hint="eastAsia"/>
                <w:b/>
                <w:sz w:val="28"/>
                <w:szCs w:val="28"/>
              </w:rPr>
              <w:t>机遇（O）</w:t>
            </w:r>
          </w:p>
          <w:p w:rsidR="00BC3900" w:rsidRDefault="00BC3900" w:rsidP="006F7FD3">
            <w:pPr>
              <w:spacing w:line="400" w:lineRule="exact"/>
              <w:ind w:firstLineChars="50" w:firstLine="140"/>
              <w:rPr>
                <w:rFonts w:ascii="仿宋_GB2312" w:eastAsia="仿宋_GB2312"/>
                <w:sz w:val="28"/>
                <w:szCs w:val="28"/>
              </w:rPr>
            </w:pPr>
            <w:r>
              <w:rPr>
                <w:rFonts w:ascii="仿宋_GB2312" w:eastAsia="仿宋_GB2312" w:hint="eastAsia"/>
                <w:sz w:val="28"/>
                <w:szCs w:val="28"/>
              </w:rPr>
              <w:t>O1全球金融资源转移</w:t>
            </w:r>
          </w:p>
          <w:p w:rsidR="00BC3900" w:rsidRDefault="00BC3900" w:rsidP="006F7FD3">
            <w:pPr>
              <w:spacing w:line="400" w:lineRule="exact"/>
              <w:ind w:firstLineChars="50" w:firstLine="140"/>
              <w:rPr>
                <w:rFonts w:ascii="仿宋_GB2312" w:eastAsia="仿宋_GB2312"/>
                <w:sz w:val="28"/>
                <w:szCs w:val="28"/>
              </w:rPr>
            </w:pPr>
            <w:r>
              <w:rPr>
                <w:rFonts w:ascii="仿宋_GB2312" w:eastAsia="仿宋_GB2312" w:hint="eastAsia"/>
                <w:sz w:val="28"/>
                <w:szCs w:val="28"/>
              </w:rPr>
              <w:t>O2金融改革创新加快</w:t>
            </w:r>
          </w:p>
          <w:p w:rsidR="00BC3900" w:rsidRDefault="00BC3900" w:rsidP="006F7FD3">
            <w:pPr>
              <w:spacing w:line="400" w:lineRule="exact"/>
              <w:ind w:firstLineChars="50" w:firstLine="140"/>
              <w:rPr>
                <w:rFonts w:ascii="仿宋_GB2312" w:eastAsia="仿宋_GB2312"/>
                <w:sz w:val="28"/>
                <w:szCs w:val="28"/>
              </w:rPr>
            </w:pPr>
            <w:r>
              <w:rPr>
                <w:rFonts w:ascii="仿宋_GB2312" w:eastAsia="仿宋_GB2312" w:hint="eastAsia"/>
                <w:sz w:val="28"/>
                <w:szCs w:val="28"/>
              </w:rPr>
              <w:t>O3金融扩大对外开放</w:t>
            </w:r>
          </w:p>
          <w:p w:rsidR="00BC3900" w:rsidRDefault="00BC3900" w:rsidP="006F7FD3">
            <w:pPr>
              <w:spacing w:line="400" w:lineRule="exact"/>
              <w:ind w:firstLineChars="50" w:firstLine="140"/>
              <w:rPr>
                <w:rFonts w:ascii="仿宋_GB2312" w:eastAsia="仿宋_GB2312"/>
                <w:color w:val="FF0000"/>
                <w:sz w:val="28"/>
                <w:szCs w:val="28"/>
              </w:rPr>
            </w:pPr>
            <w:r>
              <w:rPr>
                <w:rFonts w:ascii="仿宋_GB2312" w:eastAsia="仿宋_GB2312" w:hint="eastAsia"/>
                <w:sz w:val="28"/>
                <w:szCs w:val="28"/>
              </w:rPr>
              <w:t>O4金融科技发展提速</w:t>
            </w:r>
          </w:p>
        </w:tc>
        <w:tc>
          <w:tcPr>
            <w:tcW w:w="3060" w:type="dxa"/>
            <w:tcBorders>
              <w:top w:val="single" w:sz="2" w:space="0" w:color="auto"/>
              <w:left w:val="single" w:sz="2" w:space="0" w:color="auto"/>
              <w:bottom w:val="single" w:sz="2" w:space="0" w:color="auto"/>
              <w:right w:val="single" w:sz="2" w:space="0" w:color="auto"/>
            </w:tcBorders>
          </w:tcPr>
          <w:p w:rsidR="00BC3900" w:rsidRDefault="00BC3900" w:rsidP="006F7FD3">
            <w:pPr>
              <w:spacing w:line="400" w:lineRule="exact"/>
              <w:jc w:val="center"/>
              <w:rPr>
                <w:rFonts w:ascii="仿宋_GB2312" w:eastAsia="仿宋_GB2312"/>
                <w:b/>
                <w:bCs/>
                <w:sz w:val="28"/>
                <w:szCs w:val="28"/>
              </w:rPr>
            </w:pPr>
            <w:r>
              <w:rPr>
                <w:rFonts w:ascii="仿宋_GB2312" w:eastAsia="仿宋_GB2312" w:hint="eastAsia"/>
                <w:b/>
                <w:bCs/>
                <w:sz w:val="28"/>
                <w:szCs w:val="28"/>
              </w:rPr>
              <w:t>SO策略</w:t>
            </w:r>
          </w:p>
          <w:p w:rsidR="00BC3900" w:rsidRDefault="00BC3900" w:rsidP="006F7FD3">
            <w:pPr>
              <w:spacing w:line="400" w:lineRule="exact"/>
              <w:rPr>
                <w:rFonts w:ascii="仿宋_GB2312" w:eastAsia="仿宋_GB2312"/>
                <w:color w:val="FF0000"/>
                <w:sz w:val="28"/>
                <w:szCs w:val="28"/>
              </w:rPr>
            </w:pPr>
            <w:r>
              <w:rPr>
                <w:rFonts w:ascii="仿宋_GB2312" w:eastAsia="仿宋_GB2312" w:hint="eastAsia"/>
                <w:sz w:val="28"/>
                <w:szCs w:val="28"/>
              </w:rPr>
              <w:t>大力引进外资金融机构、华人华侨资本和人才，深化对台金融开放合作，大力推进金融创新、发展金融科技、财富管理等特色业务</w:t>
            </w:r>
          </w:p>
        </w:tc>
        <w:tc>
          <w:tcPr>
            <w:tcW w:w="2949" w:type="dxa"/>
            <w:tcBorders>
              <w:top w:val="single" w:sz="2" w:space="0" w:color="auto"/>
              <w:left w:val="single" w:sz="2" w:space="0" w:color="auto"/>
              <w:bottom w:val="single" w:sz="2" w:space="0" w:color="auto"/>
              <w:right w:val="single" w:sz="2" w:space="0" w:color="auto"/>
            </w:tcBorders>
          </w:tcPr>
          <w:p w:rsidR="00BC3900" w:rsidRDefault="00BC3900" w:rsidP="006F7FD3">
            <w:pPr>
              <w:spacing w:line="400" w:lineRule="exact"/>
              <w:jc w:val="center"/>
              <w:rPr>
                <w:rFonts w:ascii="仿宋_GB2312" w:eastAsia="仿宋_GB2312"/>
                <w:b/>
                <w:sz w:val="28"/>
                <w:szCs w:val="28"/>
              </w:rPr>
            </w:pPr>
            <w:r>
              <w:rPr>
                <w:rFonts w:ascii="仿宋_GB2312" w:eastAsia="仿宋_GB2312" w:hint="eastAsia"/>
                <w:b/>
                <w:sz w:val="28"/>
                <w:szCs w:val="28"/>
              </w:rPr>
              <w:t>WO策略</w:t>
            </w:r>
          </w:p>
          <w:p w:rsidR="00BC3900" w:rsidRDefault="00BC3900" w:rsidP="006F7FD3">
            <w:pPr>
              <w:spacing w:line="400" w:lineRule="exact"/>
              <w:rPr>
                <w:rFonts w:ascii="仿宋_GB2312" w:eastAsia="仿宋_GB2312"/>
                <w:color w:val="FF0000"/>
                <w:sz w:val="28"/>
                <w:szCs w:val="28"/>
              </w:rPr>
            </w:pPr>
            <w:r>
              <w:rPr>
                <w:rFonts w:ascii="仿宋_GB2312" w:eastAsia="仿宋_GB2312" w:hint="eastAsia"/>
                <w:sz w:val="28"/>
                <w:szCs w:val="28"/>
              </w:rPr>
              <w:t>培育壮大法人机构，稳健发展新兴金融业态，培育引进高端人才，优化金融生态，加强监管科技应用</w:t>
            </w:r>
          </w:p>
        </w:tc>
      </w:tr>
      <w:tr w:rsidR="00BC3900" w:rsidTr="006F7FD3">
        <w:trPr>
          <w:trHeight w:val="2256"/>
          <w:jc w:val="center"/>
        </w:trPr>
        <w:tc>
          <w:tcPr>
            <w:tcW w:w="3103" w:type="dxa"/>
            <w:tcBorders>
              <w:top w:val="single" w:sz="2" w:space="0" w:color="auto"/>
              <w:left w:val="single" w:sz="2" w:space="0" w:color="auto"/>
              <w:bottom w:val="single" w:sz="2" w:space="0" w:color="auto"/>
              <w:right w:val="single" w:sz="2" w:space="0" w:color="auto"/>
            </w:tcBorders>
            <w:tcMar>
              <w:top w:w="0" w:type="dxa"/>
              <w:left w:w="28" w:type="dxa"/>
              <w:bottom w:w="0" w:type="dxa"/>
              <w:right w:w="28" w:type="dxa"/>
            </w:tcMar>
            <w:vAlign w:val="center"/>
          </w:tcPr>
          <w:p w:rsidR="00BC3900" w:rsidRDefault="00BC3900" w:rsidP="006F7FD3">
            <w:pPr>
              <w:spacing w:line="400" w:lineRule="exact"/>
              <w:jc w:val="center"/>
              <w:rPr>
                <w:rFonts w:ascii="仿宋_GB2312" w:eastAsia="仿宋_GB2312"/>
                <w:b/>
                <w:sz w:val="28"/>
                <w:szCs w:val="28"/>
              </w:rPr>
            </w:pPr>
            <w:r>
              <w:rPr>
                <w:rFonts w:ascii="仿宋_GB2312" w:eastAsia="仿宋_GB2312" w:hint="eastAsia"/>
                <w:b/>
                <w:sz w:val="28"/>
                <w:szCs w:val="28"/>
              </w:rPr>
              <w:t>挑战（T）</w:t>
            </w:r>
          </w:p>
          <w:p w:rsidR="00BC3900" w:rsidRDefault="00BC3900" w:rsidP="006F7FD3">
            <w:pPr>
              <w:spacing w:line="400" w:lineRule="exact"/>
              <w:ind w:firstLineChars="50" w:firstLine="140"/>
              <w:jc w:val="left"/>
              <w:rPr>
                <w:rFonts w:ascii="仿宋_GB2312" w:eastAsia="仿宋_GB2312"/>
                <w:spacing w:val="-20"/>
                <w:sz w:val="28"/>
                <w:szCs w:val="28"/>
              </w:rPr>
            </w:pPr>
            <w:r>
              <w:rPr>
                <w:rFonts w:ascii="仿宋_GB2312" w:eastAsia="仿宋_GB2312" w:hint="eastAsia"/>
                <w:sz w:val="28"/>
                <w:szCs w:val="28"/>
              </w:rPr>
              <w:t>T1</w:t>
            </w:r>
            <w:r>
              <w:rPr>
                <w:rFonts w:ascii="仿宋_GB2312" w:eastAsia="仿宋_GB2312" w:hint="eastAsia"/>
                <w:spacing w:val="-20"/>
                <w:sz w:val="28"/>
                <w:szCs w:val="28"/>
              </w:rPr>
              <w:t>金融资源区域竞争加剧</w:t>
            </w:r>
          </w:p>
          <w:p w:rsidR="00BC3900" w:rsidRDefault="00BC3900" w:rsidP="006F7FD3">
            <w:pPr>
              <w:spacing w:line="400" w:lineRule="exact"/>
              <w:ind w:firstLineChars="50" w:firstLine="140"/>
              <w:jc w:val="left"/>
              <w:rPr>
                <w:rFonts w:ascii="仿宋_GB2312" w:eastAsia="仿宋_GB2312"/>
                <w:spacing w:val="-20"/>
                <w:sz w:val="28"/>
                <w:szCs w:val="28"/>
              </w:rPr>
            </w:pPr>
            <w:r>
              <w:rPr>
                <w:rFonts w:ascii="仿宋_GB2312" w:eastAsia="仿宋_GB2312" w:hint="eastAsia"/>
                <w:sz w:val="28"/>
                <w:szCs w:val="28"/>
              </w:rPr>
              <w:t>T2</w:t>
            </w:r>
            <w:r>
              <w:rPr>
                <w:rFonts w:ascii="仿宋_GB2312" w:eastAsia="仿宋_GB2312" w:hint="eastAsia"/>
                <w:spacing w:val="-20"/>
                <w:sz w:val="28"/>
                <w:szCs w:val="28"/>
              </w:rPr>
              <w:t>全球政治经济不确定性</w:t>
            </w:r>
          </w:p>
          <w:p w:rsidR="00BC3900" w:rsidRDefault="00BC3900" w:rsidP="006F7FD3">
            <w:pPr>
              <w:spacing w:line="400" w:lineRule="exact"/>
              <w:ind w:firstLineChars="50" w:firstLine="140"/>
              <w:jc w:val="left"/>
              <w:rPr>
                <w:rFonts w:ascii="仿宋_GB2312" w:eastAsia="仿宋_GB2312"/>
                <w:spacing w:val="-20"/>
                <w:sz w:val="28"/>
                <w:szCs w:val="28"/>
              </w:rPr>
            </w:pPr>
            <w:r>
              <w:rPr>
                <w:rFonts w:ascii="仿宋_GB2312" w:eastAsia="仿宋_GB2312" w:hint="eastAsia"/>
                <w:sz w:val="28"/>
                <w:szCs w:val="28"/>
              </w:rPr>
              <w:t>T3</w:t>
            </w:r>
            <w:r>
              <w:rPr>
                <w:rFonts w:ascii="仿宋_GB2312" w:eastAsia="仿宋_GB2312" w:hint="eastAsia"/>
                <w:spacing w:val="-20"/>
                <w:sz w:val="28"/>
                <w:szCs w:val="28"/>
              </w:rPr>
              <w:t>经济去杠杆、金融严监管</w:t>
            </w:r>
          </w:p>
          <w:p w:rsidR="00BC3900" w:rsidRDefault="00BC3900" w:rsidP="006F7FD3">
            <w:pPr>
              <w:spacing w:line="400" w:lineRule="exact"/>
              <w:ind w:firstLineChars="50" w:firstLine="120"/>
              <w:jc w:val="left"/>
              <w:rPr>
                <w:rFonts w:ascii="仿宋_GB2312" w:eastAsia="仿宋_GB2312"/>
                <w:color w:val="FF0000"/>
                <w:spacing w:val="-20"/>
                <w:sz w:val="28"/>
                <w:szCs w:val="28"/>
              </w:rPr>
            </w:pPr>
            <w:r>
              <w:rPr>
                <w:rFonts w:ascii="仿宋_GB2312" w:eastAsia="仿宋_GB2312" w:hint="eastAsia"/>
                <w:spacing w:val="-20"/>
                <w:sz w:val="28"/>
                <w:szCs w:val="28"/>
              </w:rPr>
              <w:t>T4传统金融增长放缓</w:t>
            </w:r>
          </w:p>
        </w:tc>
        <w:tc>
          <w:tcPr>
            <w:tcW w:w="3060" w:type="dxa"/>
            <w:tcBorders>
              <w:top w:val="single" w:sz="2" w:space="0" w:color="auto"/>
              <w:left w:val="single" w:sz="2" w:space="0" w:color="auto"/>
              <w:bottom w:val="single" w:sz="2" w:space="0" w:color="auto"/>
              <w:right w:val="single" w:sz="2" w:space="0" w:color="auto"/>
            </w:tcBorders>
          </w:tcPr>
          <w:p w:rsidR="00BC3900" w:rsidRDefault="00BC3900" w:rsidP="006F7FD3">
            <w:pPr>
              <w:spacing w:line="400" w:lineRule="exact"/>
              <w:jc w:val="center"/>
              <w:rPr>
                <w:rFonts w:ascii="仿宋_GB2312" w:eastAsia="仿宋_GB2312"/>
                <w:b/>
                <w:sz w:val="28"/>
                <w:szCs w:val="28"/>
              </w:rPr>
            </w:pPr>
            <w:r>
              <w:rPr>
                <w:rFonts w:ascii="仿宋_GB2312" w:eastAsia="仿宋_GB2312" w:hint="eastAsia"/>
                <w:b/>
                <w:sz w:val="28"/>
                <w:szCs w:val="28"/>
              </w:rPr>
              <w:t>ST策略</w:t>
            </w:r>
          </w:p>
          <w:p w:rsidR="00BC3900" w:rsidRDefault="00BC3900" w:rsidP="006F7FD3">
            <w:pPr>
              <w:spacing w:line="400" w:lineRule="exact"/>
              <w:rPr>
                <w:rFonts w:ascii="仿宋_GB2312" w:eastAsia="仿宋_GB2312"/>
                <w:color w:val="FF0000"/>
                <w:sz w:val="28"/>
                <w:szCs w:val="28"/>
              </w:rPr>
            </w:pPr>
            <w:r>
              <w:rPr>
                <w:rFonts w:ascii="仿宋_GB2312" w:eastAsia="仿宋_GB2312" w:hint="eastAsia"/>
                <w:sz w:val="28"/>
                <w:szCs w:val="28"/>
              </w:rPr>
              <w:t>丰富金融产业功能内涵，加强金融产业政策扶持，完善地方金融监管和风险防范体系，鼓励地方金融机构发展</w:t>
            </w:r>
          </w:p>
        </w:tc>
        <w:tc>
          <w:tcPr>
            <w:tcW w:w="2949" w:type="dxa"/>
            <w:tcBorders>
              <w:top w:val="single" w:sz="2" w:space="0" w:color="auto"/>
              <w:left w:val="single" w:sz="2" w:space="0" w:color="auto"/>
              <w:bottom w:val="single" w:sz="2" w:space="0" w:color="auto"/>
              <w:right w:val="single" w:sz="2" w:space="0" w:color="auto"/>
            </w:tcBorders>
          </w:tcPr>
          <w:p w:rsidR="00BC3900" w:rsidRDefault="00BC3900" w:rsidP="006F7FD3">
            <w:pPr>
              <w:spacing w:line="400" w:lineRule="exact"/>
              <w:jc w:val="center"/>
              <w:rPr>
                <w:rFonts w:ascii="仿宋_GB2312" w:eastAsia="仿宋_GB2312"/>
                <w:b/>
                <w:bCs/>
                <w:sz w:val="28"/>
                <w:szCs w:val="28"/>
              </w:rPr>
            </w:pPr>
            <w:r>
              <w:rPr>
                <w:rFonts w:ascii="仿宋_GB2312" w:eastAsia="仿宋_GB2312" w:hint="eastAsia"/>
                <w:b/>
                <w:bCs/>
                <w:sz w:val="28"/>
                <w:szCs w:val="28"/>
              </w:rPr>
              <w:t>WT策略</w:t>
            </w:r>
          </w:p>
          <w:p w:rsidR="00BC3900" w:rsidRDefault="00BC3900" w:rsidP="006F7FD3">
            <w:pPr>
              <w:spacing w:line="400" w:lineRule="exact"/>
              <w:rPr>
                <w:rFonts w:ascii="仿宋_GB2312" w:eastAsia="仿宋_GB2312"/>
                <w:color w:val="FF0000"/>
                <w:sz w:val="28"/>
                <w:szCs w:val="28"/>
              </w:rPr>
            </w:pPr>
            <w:r>
              <w:rPr>
                <w:rFonts w:ascii="仿宋_GB2312" w:eastAsia="仿宋_GB2312" w:hint="eastAsia"/>
                <w:sz w:val="28"/>
                <w:szCs w:val="28"/>
              </w:rPr>
              <w:t>培育区域金融市场，积极争取试点政策先行先试，鼓励金融创新加快金融产业集聚区建设，增强集聚效应</w:t>
            </w:r>
          </w:p>
        </w:tc>
      </w:tr>
    </w:tbl>
    <w:p w:rsidR="00BC3900" w:rsidRDefault="00BC3900" w:rsidP="00BC3900">
      <w:pPr>
        <w:widowControl/>
        <w:ind w:firstLineChars="200" w:firstLine="640"/>
        <w:rPr>
          <w:rFonts w:ascii="仿宋_GB2312" w:eastAsia="仿宋_GB2312" w:cs="仿宋_GB2312"/>
          <w:color w:val="FF0000"/>
          <w:kern w:val="0"/>
          <w:sz w:val="32"/>
          <w:szCs w:val="32"/>
        </w:rPr>
      </w:pPr>
    </w:p>
    <w:p w:rsidR="00BC3900" w:rsidRDefault="00BC3900" w:rsidP="00BC3900">
      <w:pPr>
        <w:spacing w:line="620" w:lineRule="exact"/>
        <w:ind w:firstLineChars="200" w:firstLine="640"/>
        <w:rPr>
          <w:rFonts w:ascii="黑体" w:eastAsia="黑体" w:cs="黑体"/>
          <w:color w:val="000000"/>
          <w:kern w:val="0"/>
          <w:sz w:val="32"/>
          <w:szCs w:val="32"/>
        </w:rPr>
      </w:pPr>
      <w:r>
        <w:rPr>
          <w:rFonts w:ascii="黑体" w:eastAsia="黑体" w:cs="黑体" w:hint="eastAsia"/>
          <w:color w:val="000000"/>
          <w:kern w:val="0"/>
          <w:sz w:val="32"/>
          <w:szCs w:val="32"/>
        </w:rPr>
        <w:t>三、定位目标</w:t>
      </w:r>
    </w:p>
    <w:p w:rsidR="00BC3900" w:rsidRDefault="00BC3900" w:rsidP="00BC3900">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（一）指导思想</w:t>
      </w:r>
    </w:p>
    <w:p w:rsidR="00BC3900" w:rsidRDefault="00BC3900" w:rsidP="00BC3900">
      <w:pPr>
        <w:spacing w:line="620" w:lineRule="exact"/>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以习近平新时代中国特色社会主义思想为指导，紧紧围绕建设</w:t>
      </w:r>
      <w:r>
        <w:rPr>
          <w:rFonts w:ascii="仿宋_GB2312" w:eastAsia="仿宋_GB2312" w:hint="eastAsia"/>
          <w:sz w:val="32"/>
          <w:szCs w:val="32"/>
        </w:rPr>
        <w:t>高素质创新创业之城、高颜值生态花园之城和现代化、国际化城市的要求，积极借鉴先进金融中心城市发展经验</w:t>
      </w:r>
      <w:r>
        <w:rPr>
          <w:rFonts w:ascii="仿宋_GB2312" w:eastAsia="仿宋_GB2312" w:cs="仿宋_GB2312" w:hint="eastAsia"/>
          <w:color w:val="000000"/>
          <w:kern w:val="0"/>
          <w:sz w:val="32"/>
          <w:szCs w:val="32"/>
        </w:rPr>
        <w:t>，充分发挥经济特区、综改试验区、自贸试验区和自主创新示范区等多区叠加优势和有利条件，加快两岸区域性金融中心建设，全面实施金融强市战略，健全完善现代金融体系，推</w:t>
      </w:r>
      <w:r>
        <w:rPr>
          <w:rFonts w:ascii="仿宋_GB2312" w:eastAsia="仿宋_GB2312" w:cs="仿宋_GB2312" w:hint="eastAsia"/>
          <w:color w:val="000000"/>
          <w:kern w:val="0"/>
          <w:sz w:val="32"/>
          <w:szCs w:val="32"/>
        </w:rPr>
        <w:lastRenderedPageBreak/>
        <w:t>进金融改革创新，增强金融聚集辐射能力，提升金融服务实体经济功能，在更高水平上推动金融对外开放，打造特色鲜明、功能突出和国际特征的金融科技之城。</w:t>
      </w:r>
    </w:p>
    <w:p w:rsidR="00BC3900" w:rsidRDefault="00BC3900" w:rsidP="00BC3900">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t>（二）发展目标</w:t>
      </w:r>
      <w:bookmarkStart w:id="2" w:name="_Toc14854948"/>
      <w:bookmarkStart w:id="3" w:name="_Toc14858905"/>
    </w:p>
    <w:p w:rsidR="00BC3900" w:rsidRDefault="00BC3900" w:rsidP="00BC3900">
      <w:pPr>
        <w:spacing w:line="620" w:lineRule="exact"/>
        <w:ind w:firstLineChars="200" w:firstLine="640"/>
        <w:rPr>
          <w:rFonts w:ascii="仿宋_GB2312" w:eastAsia="仿宋_GB2312"/>
          <w:sz w:val="32"/>
          <w:szCs w:val="32"/>
        </w:rPr>
      </w:pPr>
      <w:r>
        <w:rPr>
          <w:rFonts w:ascii="仿宋_GB2312" w:eastAsia="仿宋_GB2312" w:hint="eastAsia"/>
          <w:sz w:val="32"/>
          <w:szCs w:val="32"/>
        </w:rPr>
        <w:t>到2025年，形成结构合理、功能齐备、创新活跃的多元化现代金融体系，金融机构实力取得显著提升。产业与金融良性互动，为厦门市经济转型升级提供金融支持。金融科技、财富管理等特色业务形成规模效应，两岸金融开放合作及产融结合发展形成示范效应，厦门两岸区域性金融中心内涵更加丰富，地位进一步突显。“两岸金融中心”片区开发建设基本完成，成为金融机构总部集聚的“城市新客厅”。到2025年全市金融服务业营收超过3000亿元，金融增加值超过1000亿元，金融产业规模迈上新台阶。</w:t>
      </w:r>
    </w:p>
    <w:p w:rsidR="00BC3900" w:rsidRDefault="00BC3900" w:rsidP="00BC3900">
      <w:pPr>
        <w:spacing w:line="600" w:lineRule="exact"/>
        <w:ind w:firstLineChars="200" w:firstLine="640"/>
        <w:rPr>
          <w:rFonts w:ascii="仿宋_GB2312" w:eastAsia="仿宋_GB2312"/>
          <w:sz w:val="32"/>
          <w:szCs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9"/>
        <w:gridCol w:w="3424"/>
        <w:gridCol w:w="2163"/>
        <w:gridCol w:w="2115"/>
      </w:tblGrid>
      <w:tr w:rsidR="00BC3900" w:rsidTr="006F7FD3">
        <w:tc>
          <w:tcPr>
            <w:tcW w:w="8531" w:type="dxa"/>
            <w:gridSpan w:val="4"/>
            <w:tcBorders>
              <w:top w:val="single" w:sz="4" w:space="0" w:color="auto"/>
              <w:left w:val="single" w:sz="4" w:space="0" w:color="auto"/>
              <w:bottom w:val="single" w:sz="4" w:space="0" w:color="auto"/>
              <w:right w:val="single" w:sz="4" w:space="0" w:color="auto"/>
            </w:tcBorders>
            <w:vAlign w:val="center"/>
          </w:tcPr>
          <w:p w:rsidR="00BC3900" w:rsidRDefault="00BC3900" w:rsidP="006F7FD3">
            <w:pPr>
              <w:spacing w:line="600" w:lineRule="exact"/>
              <w:jc w:val="center"/>
              <w:rPr>
                <w:rFonts w:ascii="仿宋_GB2312" w:eastAsia="仿宋_GB2312"/>
                <w:b/>
                <w:bCs/>
                <w:sz w:val="32"/>
                <w:szCs w:val="32"/>
              </w:rPr>
            </w:pPr>
            <w:r>
              <w:rPr>
                <w:rFonts w:ascii="仿宋_GB2312" w:eastAsia="仿宋_GB2312" w:hint="eastAsia"/>
                <w:b/>
                <w:bCs/>
                <w:sz w:val="32"/>
                <w:szCs w:val="32"/>
              </w:rPr>
              <w:t>专栏：厦门市金融业发展主要预计指标（2025年）</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序号</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指标名称</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2025年（年末）</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年均增长或较2018年底增加</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1</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金融业增加值</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1000亿元</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9%</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2</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金融服务业营业收入</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3000亿元</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10%</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3</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金融机构本外币存款余额</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2.0万亿元</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9%</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4</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金融机构本外币贷款余额</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6A57C6" w:rsidP="006A57C6">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2</w:t>
            </w:r>
            <w:r w:rsidR="00BC3900">
              <w:rPr>
                <w:rFonts w:ascii="仿宋_GB2312" w:eastAsia="仿宋_GB2312" w:cs="宋体" w:hint="eastAsia"/>
                <w:kern w:val="0"/>
                <w:sz w:val="28"/>
                <w:szCs w:val="28"/>
              </w:rPr>
              <w:t>.</w:t>
            </w:r>
            <w:r>
              <w:rPr>
                <w:rFonts w:ascii="仿宋_GB2312" w:eastAsia="仿宋_GB2312" w:cs="宋体" w:hint="eastAsia"/>
                <w:kern w:val="0"/>
                <w:sz w:val="28"/>
                <w:szCs w:val="28"/>
              </w:rPr>
              <w:t>0</w:t>
            </w:r>
            <w:r w:rsidR="00BC3900">
              <w:rPr>
                <w:rFonts w:ascii="仿宋_GB2312" w:eastAsia="仿宋_GB2312" w:cs="宋体" w:hint="eastAsia"/>
                <w:kern w:val="0"/>
                <w:sz w:val="28"/>
                <w:szCs w:val="28"/>
              </w:rPr>
              <w:t>万亿元</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9%</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5</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境内外上市公司数量</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6A57C6"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11</w:t>
            </w:r>
            <w:r w:rsidR="00BC3900">
              <w:rPr>
                <w:rFonts w:ascii="仿宋_GB2312" w:eastAsia="仿宋_GB2312" w:cs="宋体" w:hint="eastAsia"/>
                <w:kern w:val="0"/>
                <w:sz w:val="28"/>
                <w:szCs w:val="28"/>
              </w:rPr>
              <w:t>0家</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增加</w:t>
            </w:r>
            <w:r w:rsidR="006A57C6">
              <w:rPr>
                <w:rFonts w:ascii="仿宋_GB2312" w:eastAsia="仿宋_GB2312" w:cs="宋体" w:hint="eastAsia"/>
                <w:kern w:val="0"/>
                <w:sz w:val="28"/>
                <w:szCs w:val="28"/>
              </w:rPr>
              <w:t>3</w:t>
            </w:r>
            <w:r>
              <w:rPr>
                <w:rFonts w:ascii="仿宋_GB2312" w:eastAsia="仿宋_GB2312" w:cs="宋体" w:hint="eastAsia"/>
                <w:kern w:val="0"/>
                <w:sz w:val="28"/>
                <w:szCs w:val="28"/>
              </w:rPr>
              <w:t>8家</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6</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保险深度</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6A57C6"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6</w:t>
            </w:r>
            <w:r w:rsidR="00BC3900">
              <w:rPr>
                <w:rFonts w:ascii="仿宋_GB2312" w:eastAsia="仿宋_GB2312" w:cs="宋体" w:hint="eastAsia"/>
                <w:kern w:val="0"/>
                <w:sz w:val="28"/>
                <w:szCs w:val="28"/>
              </w:rPr>
              <w:t>%</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spacing w:val="-20"/>
                <w:kern w:val="0"/>
                <w:sz w:val="28"/>
                <w:szCs w:val="28"/>
              </w:rPr>
            </w:pPr>
            <w:r>
              <w:rPr>
                <w:rFonts w:ascii="仿宋_GB2312" w:eastAsia="仿宋_GB2312" w:cs="宋体" w:hint="eastAsia"/>
                <w:spacing w:val="-20"/>
                <w:kern w:val="0"/>
                <w:sz w:val="28"/>
                <w:szCs w:val="28"/>
              </w:rPr>
              <w:t>提高1</w:t>
            </w:r>
            <w:r w:rsidR="006A57C6">
              <w:rPr>
                <w:rFonts w:ascii="仿宋_GB2312" w:eastAsia="仿宋_GB2312" w:cs="宋体" w:hint="eastAsia"/>
                <w:spacing w:val="-20"/>
                <w:kern w:val="0"/>
                <w:sz w:val="28"/>
                <w:szCs w:val="28"/>
              </w:rPr>
              <w:t>.6</w:t>
            </w:r>
            <w:r>
              <w:rPr>
                <w:rFonts w:ascii="仿宋_GB2312" w:eastAsia="仿宋_GB2312" w:cs="宋体" w:hint="eastAsia"/>
                <w:spacing w:val="-20"/>
                <w:kern w:val="0"/>
                <w:sz w:val="28"/>
                <w:szCs w:val="28"/>
              </w:rPr>
              <w:t>个百分点</w:t>
            </w:r>
          </w:p>
        </w:tc>
      </w:tr>
      <w:tr w:rsidR="00BC3900" w:rsidTr="006F7FD3">
        <w:tc>
          <w:tcPr>
            <w:tcW w:w="829"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7</w:t>
            </w:r>
          </w:p>
        </w:tc>
        <w:tc>
          <w:tcPr>
            <w:tcW w:w="3424"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保险密度</w:t>
            </w:r>
          </w:p>
        </w:tc>
        <w:tc>
          <w:tcPr>
            <w:tcW w:w="2163" w:type="dxa"/>
            <w:tcBorders>
              <w:top w:val="single" w:sz="4" w:space="0" w:color="auto"/>
              <w:left w:val="single" w:sz="4" w:space="0" w:color="auto"/>
              <w:bottom w:val="single" w:sz="4" w:space="0" w:color="auto"/>
              <w:right w:val="single" w:sz="4" w:space="0" w:color="auto"/>
            </w:tcBorders>
            <w:vAlign w:val="center"/>
          </w:tcPr>
          <w:p w:rsidR="00BC3900" w:rsidRDefault="00BC3900" w:rsidP="006A57C6">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超过8</w:t>
            </w:r>
            <w:r w:rsidR="006A57C6">
              <w:rPr>
                <w:rFonts w:ascii="仿宋_GB2312" w:eastAsia="仿宋_GB2312" w:cs="宋体" w:hint="eastAsia"/>
                <w:kern w:val="0"/>
                <w:sz w:val="28"/>
                <w:szCs w:val="28"/>
              </w:rPr>
              <w:t>0</w:t>
            </w:r>
            <w:r>
              <w:rPr>
                <w:rFonts w:ascii="仿宋_GB2312" w:eastAsia="仿宋_GB2312" w:cs="宋体" w:hint="eastAsia"/>
                <w:kern w:val="0"/>
                <w:sz w:val="28"/>
                <w:szCs w:val="28"/>
              </w:rPr>
              <w:t>00元</w:t>
            </w:r>
          </w:p>
        </w:tc>
        <w:tc>
          <w:tcPr>
            <w:tcW w:w="2115" w:type="dxa"/>
            <w:tcBorders>
              <w:top w:val="single" w:sz="4" w:space="0" w:color="auto"/>
              <w:left w:val="single" w:sz="4" w:space="0" w:color="auto"/>
              <w:bottom w:val="single" w:sz="4" w:space="0" w:color="auto"/>
              <w:right w:val="single" w:sz="4" w:space="0" w:color="auto"/>
            </w:tcBorders>
            <w:vAlign w:val="center"/>
          </w:tcPr>
          <w:p w:rsidR="00BC3900" w:rsidRDefault="00BC3900" w:rsidP="006F7FD3">
            <w:pPr>
              <w:widowControl/>
              <w:spacing w:line="400" w:lineRule="exact"/>
              <w:jc w:val="center"/>
              <w:textAlignment w:val="top"/>
              <w:rPr>
                <w:rFonts w:ascii="仿宋_GB2312" w:eastAsia="仿宋_GB2312" w:cs="宋体"/>
                <w:kern w:val="0"/>
                <w:sz w:val="28"/>
                <w:szCs w:val="28"/>
              </w:rPr>
            </w:pPr>
            <w:r>
              <w:rPr>
                <w:rFonts w:ascii="仿宋_GB2312" w:eastAsia="仿宋_GB2312" w:cs="宋体" w:hint="eastAsia"/>
                <w:kern w:val="0"/>
                <w:sz w:val="28"/>
                <w:szCs w:val="28"/>
              </w:rPr>
              <w:t>约增加</w:t>
            </w:r>
            <w:r w:rsidR="006A57C6">
              <w:rPr>
                <w:rFonts w:ascii="仿宋_GB2312" w:eastAsia="仿宋_GB2312" w:cs="宋体" w:hint="eastAsia"/>
                <w:kern w:val="0"/>
                <w:sz w:val="28"/>
                <w:szCs w:val="28"/>
              </w:rPr>
              <w:t>30</w:t>
            </w:r>
            <w:r>
              <w:rPr>
                <w:rFonts w:ascii="仿宋_GB2312" w:eastAsia="仿宋_GB2312" w:cs="宋体" w:hint="eastAsia"/>
                <w:kern w:val="0"/>
                <w:sz w:val="28"/>
                <w:szCs w:val="28"/>
              </w:rPr>
              <w:t>00元</w:t>
            </w:r>
          </w:p>
        </w:tc>
      </w:tr>
    </w:tbl>
    <w:p w:rsidR="00BC3900" w:rsidRDefault="00BC3900" w:rsidP="00BC3900">
      <w:pPr>
        <w:spacing w:line="600" w:lineRule="exact"/>
        <w:rPr>
          <w:rFonts w:ascii="仿宋_GB2312" w:eastAsia="仿宋_GB2312"/>
          <w:sz w:val="32"/>
          <w:szCs w:val="32"/>
        </w:rPr>
      </w:pPr>
    </w:p>
    <w:p w:rsidR="00BC3900" w:rsidRDefault="00BC3900" w:rsidP="00BC3900">
      <w:pPr>
        <w:spacing w:line="620" w:lineRule="exact"/>
        <w:ind w:firstLineChars="200" w:firstLine="640"/>
        <w:rPr>
          <w:rFonts w:ascii="楷体_GB2312" w:eastAsia="楷体_GB2312"/>
          <w:bCs/>
          <w:sz w:val="32"/>
          <w:szCs w:val="32"/>
        </w:rPr>
      </w:pPr>
      <w:r>
        <w:rPr>
          <w:rFonts w:ascii="楷体_GB2312" w:eastAsia="楷体_GB2312" w:hint="eastAsia"/>
          <w:bCs/>
          <w:sz w:val="32"/>
          <w:szCs w:val="32"/>
        </w:rPr>
        <w:lastRenderedPageBreak/>
        <w:t>（三）发展定位</w:t>
      </w:r>
    </w:p>
    <w:p w:rsidR="00BC3900" w:rsidRDefault="00BC3900" w:rsidP="00BC3900">
      <w:pPr>
        <w:spacing w:line="620" w:lineRule="exact"/>
        <w:ind w:firstLineChars="200" w:firstLine="640"/>
        <w:rPr>
          <w:rFonts w:ascii="仿宋_GB2312" w:eastAsia="仿宋_GB2312" w:cs="仿宋_GB2312"/>
          <w:color w:val="000000"/>
          <w:kern w:val="0"/>
          <w:sz w:val="32"/>
          <w:szCs w:val="32"/>
        </w:rPr>
      </w:pPr>
      <w:r>
        <w:rPr>
          <w:rFonts w:ascii="仿宋_GB2312" w:eastAsia="仿宋_GB2312" w:hint="eastAsia"/>
          <w:sz w:val="32"/>
          <w:szCs w:val="32"/>
        </w:rPr>
        <w:t>厦门金融业发展应以全球化视野、国际化高度和未来产业的趋势方向来确立发展定位。应进一步确立厦门区域性金融中心业务服务的范围，即与“长三角”和粤港澳大湾区有效联动，发挥对台“五缘”优势和“闽南语系”华侨华人的人文纽带作用，建设</w:t>
      </w:r>
      <w:r w:rsidR="006A57C6">
        <w:rPr>
          <w:rFonts w:ascii="仿宋_GB2312" w:eastAsia="仿宋_GB2312" w:hint="eastAsia"/>
          <w:bCs/>
          <w:sz w:val="32"/>
          <w:szCs w:val="32"/>
        </w:rPr>
        <w:t>服务两岸、辐射东南亚、连</w:t>
      </w:r>
      <w:r>
        <w:rPr>
          <w:rFonts w:ascii="仿宋_GB2312" w:eastAsia="仿宋_GB2312" w:hint="eastAsia"/>
          <w:bCs/>
          <w:sz w:val="32"/>
          <w:szCs w:val="32"/>
        </w:rPr>
        <w:t>接“海丝”、面向全球的区域性金融中心</w:t>
      </w:r>
      <w:r>
        <w:rPr>
          <w:rFonts w:ascii="仿宋_GB2312" w:eastAsia="仿宋_GB2312" w:hint="eastAsia"/>
          <w:sz w:val="32"/>
          <w:szCs w:val="32"/>
        </w:rPr>
        <w:t>，有效提升厦门金融业国际化水平、国际认同感和国际知名度</w:t>
      </w:r>
      <w:bookmarkEnd w:id="2"/>
      <w:bookmarkEnd w:id="3"/>
      <w:r>
        <w:rPr>
          <w:rFonts w:ascii="仿宋_GB2312" w:eastAsia="仿宋_GB2312" w:hint="eastAsia"/>
          <w:sz w:val="32"/>
          <w:szCs w:val="32"/>
        </w:rPr>
        <w:t>。应进一步明确厦门金融业发展的重点方向，即全力打造</w:t>
      </w:r>
      <w:r>
        <w:rPr>
          <w:rFonts w:ascii="仿宋_GB2312" w:eastAsia="仿宋_GB2312" w:cs="仿宋_GB2312" w:hint="eastAsia"/>
          <w:color w:val="000000"/>
          <w:kern w:val="0"/>
          <w:sz w:val="32"/>
          <w:szCs w:val="32"/>
        </w:rPr>
        <w:t>金融对外开放先行区、产融结合发展示范区、金融科技发展高地、财富管理创新高地（“两区两高地”）：</w:t>
      </w:r>
    </w:p>
    <w:p w:rsidR="00BC3900" w:rsidRDefault="00BC3900" w:rsidP="00BC3900">
      <w:pPr>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b/>
          <w:color w:val="000000"/>
          <w:kern w:val="0"/>
          <w:sz w:val="32"/>
          <w:szCs w:val="32"/>
        </w:rPr>
        <w:t>——</w:t>
      </w:r>
      <w:r>
        <w:rPr>
          <w:rFonts w:ascii="仿宋_GB2312" w:eastAsia="仿宋_GB2312" w:cs="仿宋_GB2312" w:hint="eastAsia"/>
          <w:b/>
          <w:color w:val="000000"/>
          <w:kern w:val="0"/>
          <w:sz w:val="32"/>
          <w:szCs w:val="32"/>
        </w:rPr>
        <w:t>金融对外开放先行区。</w:t>
      </w:r>
      <w:r>
        <w:rPr>
          <w:rFonts w:ascii="仿宋_GB2312" w:eastAsia="仿宋_GB2312" w:cs="仿宋_GB2312" w:hint="eastAsia"/>
          <w:color w:val="000000"/>
          <w:kern w:val="0"/>
          <w:sz w:val="32"/>
          <w:szCs w:val="32"/>
        </w:rPr>
        <w:t>贯彻中央关于两岸经贸交流及扩大金融对外开放的重大决策部署，充分发挥厦门作为两岸交流支点和“一带一路”对外交往窗口作用，开展两岸金融业务合作及金融对外开放先行先试，率先打造金融对外开放的先行区。</w:t>
      </w:r>
    </w:p>
    <w:p w:rsidR="00BC3900" w:rsidRDefault="00BC3900" w:rsidP="00BC3900">
      <w:pPr>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b/>
          <w:bCs/>
          <w:color w:val="000000"/>
          <w:kern w:val="0"/>
          <w:sz w:val="32"/>
          <w:szCs w:val="32"/>
        </w:rPr>
        <w:t>——</w:t>
      </w:r>
      <w:r>
        <w:rPr>
          <w:rFonts w:ascii="仿宋_GB2312" w:eastAsia="仿宋_GB2312" w:cs="仿宋_GB2312" w:hint="eastAsia"/>
          <w:b/>
          <w:color w:val="000000"/>
          <w:kern w:val="0"/>
          <w:sz w:val="32"/>
          <w:szCs w:val="32"/>
        </w:rPr>
        <w:t>产融结合发展示范区。</w:t>
      </w:r>
      <w:r>
        <w:rPr>
          <w:rFonts w:ascii="仿宋_GB2312" w:eastAsia="仿宋_GB2312" w:cs="仿宋_GB2312" w:hint="eastAsia"/>
          <w:color w:val="000000"/>
          <w:kern w:val="0"/>
          <w:sz w:val="32"/>
          <w:szCs w:val="32"/>
        </w:rPr>
        <w:t>围绕服务区域经济高质量发展的金融需求，</w:t>
      </w:r>
      <w:r>
        <w:rPr>
          <w:rFonts w:ascii="仿宋_GB2312" w:eastAsia="仿宋_GB2312" w:cs="仿宋_GB2312" w:hint="eastAsia"/>
          <w:bCs/>
          <w:color w:val="000000"/>
          <w:kern w:val="0"/>
          <w:sz w:val="32"/>
          <w:szCs w:val="32"/>
        </w:rPr>
        <w:t>深化金融供给侧改革，</w:t>
      </w:r>
      <w:r>
        <w:rPr>
          <w:rFonts w:ascii="仿宋_GB2312" w:eastAsia="仿宋_GB2312" w:cs="仿宋_GB2312" w:hint="eastAsia"/>
          <w:color w:val="000000"/>
          <w:kern w:val="0"/>
          <w:sz w:val="32"/>
          <w:szCs w:val="32"/>
        </w:rPr>
        <w:t xml:space="preserve">加强金融服务产品模式创新，畅通融资通道，降低融资成本，优化融资结构，强化融资保障，打造金融支持经济高质量发展的示范区。 </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b/>
          <w:color w:val="000000"/>
          <w:kern w:val="0"/>
          <w:sz w:val="32"/>
          <w:szCs w:val="32"/>
        </w:rPr>
        <w:t>——</w:t>
      </w:r>
      <w:r>
        <w:rPr>
          <w:rFonts w:ascii="仿宋_GB2312" w:eastAsia="仿宋_GB2312" w:cs="仿宋_GB2312" w:hint="eastAsia"/>
          <w:b/>
          <w:color w:val="000000"/>
          <w:kern w:val="0"/>
          <w:sz w:val="32"/>
          <w:szCs w:val="32"/>
        </w:rPr>
        <w:t>金融科技发展高地。</w:t>
      </w:r>
      <w:r>
        <w:rPr>
          <w:rFonts w:ascii="仿宋_GB2312" w:eastAsia="仿宋_GB2312" w:cs="仿宋_GB2312" w:hint="eastAsia"/>
          <w:bCs/>
          <w:color w:val="000000"/>
          <w:kern w:val="0"/>
          <w:sz w:val="32"/>
          <w:szCs w:val="32"/>
        </w:rPr>
        <w:t>依托厦门软件信息名城基础优势，</w:t>
      </w:r>
      <w:r>
        <w:rPr>
          <w:rFonts w:ascii="仿宋_GB2312" w:eastAsia="仿宋_GB2312" w:cs="仿宋_GB2312" w:hint="eastAsia"/>
          <w:color w:val="000000"/>
          <w:kern w:val="0"/>
          <w:sz w:val="32"/>
          <w:szCs w:val="32"/>
        </w:rPr>
        <w:t>构建金融科技行业发展优质环境，</w:t>
      </w:r>
      <w:r>
        <w:rPr>
          <w:rFonts w:ascii="仿宋_GB2312" w:eastAsia="仿宋_GB2312" w:cs="仿宋_GB2312" w:hint="eastAsia"/>
          <w:bCs/>
          <w:color w:val="000000"/>
          <w:kern w:val="0"/>
          <w:sz w:val="32"/>
          <w:szCs w:val="32"/>
        </w:rPr>
        <w:t>促进金融与科技深度</w:t>
      </w:r>
      <w:r>
        <w:rPr>
          <w:rFonts w:ascii="仿宋_GB2312" w:eastAsia="仿宋_GB2312" w:cs="仿宋_GB2312" w:hint="eastAsia"/>
          <w:bCs/>
          <w:color w:val="000000"/>
          <w:kern w:val="0"/>
          <w:sz w:val="32"/>
          <w:szCs w:val="32"/>
        </w:rPr>
        <w:lastRenderedPageBreak/>
        <w:t>融合，引进培育有一批境内外知名金融科技领军企业和新锐企业，集聚金融科技人才，推动金融科技产业形成显著规模，完善行业标准与风控制度，建成基础配套完善、业务协同推进、产业布局成型、辐射能力显现的金融科技之城</w:t>
      </w:r>
      <w:r>
        <w:rPr>
          <w:rFonts w:ascii="仿宋_GB2312" w:eastAsia="仿宋_GB2312" w:cs="仿宋_GB2312" w:hint="eastAsia"/>
          <w:color w:val="000000"/>
          <w:kern w:val="0"/>
          <w:sz w:val="32"/>
          <w:szCs w:val="32"/>
        </w:rPr>
        <w:t>。</w:t>
      </w:r>
    </w:p>
    <w:p w:rsidR="00BC3900" w:rsidRDefault="00BC3900" w:rsidP="00BC3900">
      <w:pPr>
        <w:widowControl/>
        <w:spacing w:line="620" w:lineRule="exact"/>
        <w:ind w:firstLineChars="200" w:firstLine="643"/>
        <w:rPr>
          <w:rFonts w:ascii="宋体" w:cs="宋体"/>
          <w:b/>
          <w:bCs/>
          <w:sz w:val="32"/>
          <w:szCs w:val="32"/>
        </w:rPr>
      </w:pPr>
      <w:r>
        <w:rPr>
          <w:rFonts w:ascii="仿宋_GB2312" w:eastAsia="仿宋_GB2312" w:cs="仿宋_GB2312"/>
          <w:b/>
          <w:color w:val="000000"/>
          <w:kern w:val="0"/>
          <w:sz w:val="32"/>
          <w:szCs w:val="32"/>
        </w:rPr>
        <w:t>——</w:t>
      </w:r>
      <w:r>
        <w:rPr>
          <w:rFonts w:ascii="仿宋_GB2312" w:eastAsia="仿宋_GB2312" w:cs="仿宋_GB2312" w:hint="eastAsia"/>
          <w:b/>
          <w:color w:val="000000"/>
          <w:kern w:val="0"/>
          <w:sz w:val="32"/>
          <w:szCs w:val="32"/>
        </w:rPr>
        <w:t>财富管理创新高地。</w:t>
      </w:r>
      <w:r>
        <w:rPr>
          <w:rFonts w:ascii="仿宋_GB2312" w:eastAsia="仿宋_GB2312" w:cs="仿宋_GB2312" w:hint="eastAsia"/>
          <w:bCs/>
          <w:color w:val="000000"/>
          <w:kern w:val="0"/>
          <w:sz w:val="32"/>
          <w:szCs w:val="32"/>
        </w:rPr>
        <w:t>抢抓我国财富管理市场发展的重要机遇，发挥厦门自然环境、城市人文、营商环境等优势，加大对财富管理高净值人士和高端金融人才的吸引力度，探索股权投资、黄金投资、离岸投资等财富管理新路径，</w:t>
      </w:r>
      <w:r>
        <w:rPr>
          <w:rFonts w:ascii="仿宋_GB2312" w:eastAsia="仿宋_GB2312" w:cs="仿宋_GB2312" w:hint="eastAsia"/>
          <w:color w:val="000000"/>
          <w:kern w:val="0"/>
          <w:sz w:val="32"/>
          <w:szCs w:val="32"/>
        </w:rPr>
        <w:t xml:space="preserve">打造境内外财富管理创新高地。 </w:t>
      </w:r>
    </w:p>
    <w:p w:rsidR="00BC3900" w:rsidRDefault="00BC3900" w:rsidP="00BC3900">
      <w:pPr>
        <w:widowControl/>
        <w:spacing w:line="620" w:lineRule="exact"/>
        <w:ind w:firstLineChars="200" w:firstLine="640"/>
        <w:rPr>
          <w:rFonts w:ascii="黑体" w:eastAsia="黑体" w:cs="黑体"/>
          <w:sz w:val="32"/>
          <w:szCs w:val="32"/>
        </w:rPr>
      </w:pPr>
      <w:r>
        <w:rPr>
          <w:rFonts w:ascii="黑体" w:eastAsia="黑体" w:cs="黑体" w:hint="eastAsia"/>
          <w:sz w:val="32"/>
          <w:szCs w:val="32"/>
        </w:rPr>
        <w:t>四、主要任务</w:t>
      </w:r>
    </w:p>
    <w:p w:rsidR="00BC3900" w:rsidRDefault="00BC3900" w:rsidP="00BC3900">
      <w:pPr>
        <w:widowControl/>
        <w:spacing w:line="620" w:lineRule="exact"/>
        <w:ind w:firstLineChars="200" w:firstLine="640"/>
        <w:rPr>
          <w:rFonts w:ascii="楷体_GB2312" w:eastAsia="楷体_GB2312" w:cs="楷体"/>
          <w:color w:val="000000"/>
          <w:kern w:val="0"/>
          <w:sz w:val="32"/>
          <w:szCs w:val="32"/>
        </w:rPr>
      </w:pPr>
      <w:r>
        <w:rPr>
          <w:rFonts w:ascii="楷体_GB2312" w:eastAsia="楷体_GB2312" w:cs="楷体" w:hint="eastAsia"/>
          <w:color w:val="000000"/>
          <w:kern w:val="0"/>
          <w:sz w:val="32"/>
          <w:szCs w:val="32"/>
        </w:rPr>
        <w:t>（一）增强区域金融机构实力，提升金融产业主体支撑</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1.做大做强法人金融机构。</w:t>
      </w:r>
      <w:r>
        <w:rPr>
          <w:rFonts w:ascii="仿宋_GB2312" w:eastAsia="仿宋_GB2312" w:cs="仿宋_GB2312" w:hint="eastAsia"/>
          <w:color w:val="000000"/>
          <w:kern w:val="0"/>
          <w:sz w:val="32"/>
          <w:szCs w:val="32"/>
        </w:rPr>
        <w:t>完善法人金融机构市场化经营机制。推动本地法人金融机构通过增资扩股、整合重组、引进战略投资者、公开发行上市等方式增强资本实力，完善现代企业制度和市场化经营机</w:t>
      </w:r>
      <w:r w:rsidR="006A57C6">
        <w:rPr>
          <w:rFonts w:ascii="仿宋_GB2312" w:eastAsia="仿宋_GB2312" w:cs="仿宋_GB2312" w:hint="eastAsia"/>
          <w:color w:val="000000"/>
          <w:kern w:val="0"/>
          <w:sz w:val="32"/>
          <w:szCs w:val="32"/>
        </w:rPr>
        <w:t>制，申请金融牌照开展综合化经营。优化激励约束机制，鼓励法人金融机构</w:t>
      </w:r>
      <w:r>
        <w:rPr>
          <w:rFonts w:ascii="仿宋_GB2312" w:eastAsia="仿宋_GB2312" w:cs="仿宋_GB2312" w:hint="eastAsia"/>
          <w:color w:val="000000"/>
          <w:kern w:val="0"/>
          <w:sz w:val="32"/>
          <w:szCs w:val="32"/>
        </w:rPr>
        <w:t>引进优秀业务团队，加强商业盈利模式创新和金融产品创新，打造金融品牌。政府等公共部门采购金融服务、财政资金存款等，优先考虑政府公共资源配给厦门本地法人金融机构。支持本地法人金融机构“走出去”发展，拓展东部沿海、台湾及“海丝”沿线等业务市场。</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lastRenderedPageBreak/>
        <w:t>2.增设持牌法人金融机构。</w:t>
      </w:r>
      <w:r>
        <w:rPr>
          <w:rFonts w:ascii="仿宋_GB2312" w:eastAsia="仿宋_GB2312" w:cs="仿宋_GB2312" w:hint="eastAsia"/>
          <w:color w:val="000000"/>
          <w:kern w:val="0"/>
          <w:sz w:val="32"/>
          <w:szCs w:val="32"/>
        </w:rPr>
        <w:t>积极填补金融牌照空白，支持境内外知名企业、金融机构在厦门发起设立银行、证券期货、保险等各类持牌金融机构，抓紧填补民营银行、汽车金融、专业保险公司、再保险公司等机构类型空白。抓住金融业务专营化和金融组织创新趋势，积极争取各金融机构总部在厦设立资产管理、风险管理、投资银行、直接投资等专业化子公司。鼓励本地符合条件的企业、法人金融机构参与境内外重大金融项目的并购重组并争取总部迁至厦门。推动民间资本进入银行业，鼓励民间资本进入证</w:t>
      </w:r>
      <w:r w:rsidR="006A57C6" w:rsidRPr="00245620">
        <w:rPr>
          <w:rFonts w:ascii="仿宋_GB2312" w:eastAsia="仿宋_GB2312" w:cs="微软雅黑" w:hint="eastAsia"/>
          <w:color w:val="000000"/>
          <w:kern w:val="0"/>
          <w:sz w:val="32"/>
          <w:szCs w:val="32"/>
        </w:rPr>
        <w:t>券</w:t>
      </w:r>
      <w:r>
        <w:rPr>
          <w:rFonts w:ascii="仿宋_GB2312" w:eastAsia="仿宋_GB2312" w:cs="仿宋_GB2312" w:hint="eastAsia"/>
          <w:color w:val="000000"/>
          <w:kern w:val="0"/>
          <w:sz w:val="32"/>
          <w:szCs w:val="32"/>
        </w:rPr>
        <w:t>业、保险业。</w:t>
      </w:r>
    </w:p>
    <w:p w:rsidR="00BC3900" w:rsidRDefault="00BC3900" w:rsidP="00BC3900">
      <w:pPr>
        <w:widowControl/>
        <w:spacing w:line="62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3.做强金融区域分支机构。</w:t>
      </w:r>
      <w:r>
        <w:rPr>
          <w:rFonts w:ascii="仿宋_GB2312" w:eastAsia="仿宋_GB2312" w:hint="eastAsia"/>
          <w:color w:val="000000"/>
          <w:sz w:val="32"/>
          <w:szCs w:val="32"/>
        </w:rPr>
        <w:t>鼓励金融机构分支机构发挥业务渠道等优势，积极争取总部资金业务资源，支持地方经济建设。支持银行机构强化融资服务、协助引荐优质企业落户；证券业机构加大本地企业上市辅导力度、提高直接融资比重；保险业机构提增保险收入、引进保险资金。</w:t>
      </w:r>
      <w:r>
        <w:rPr>
          <w:rFonts w:ascii="仿宋_GB2312" w:eastAsia="仿宋_GB2312" w:cs="仿宋_GB2312" w:hint="eastAsia"/>
          <w:color w:val="000000"/>
          <w:kern w:val="0"/>
          <w:sz w:val="32"/>
          <w:szCs w:val="32"/>
        </w:rPr>
        <w:t>加强政府与各金融机构总行（总部）业务联络，通过签订战略合作协议、高层定期互访等方式，争取总行（总部）加大对厦门本地资源、资金投入及业务政策倾斜，重点引进总行（总部）级职能中心、业务板块。</w:t>
      </w:r>
      <w:r>
        <w:rPr>
          <w:rFonts w:ascii="仿宋_GB2312" w:eastAsia="仿宋_GB2312" w:hint="eastAsia"/>
          <w:sz w:val="32"/>
          <w:szCs w:val="32"/>
        </w:rPr>
        <w:t>支持在厦区域分支机构通过跨区域整合资源实现做大做强，</w:t>
      </w:r>
      <w:r>
        <w:rPr>
          <w:rFonts w:ascii="仿宋_GB2312" w:eastAsia="仿宋_GB2312" w:cs="仿宋" w:hint="eastAsia"/>
          <w:sz w:val="32"/>
          <w:szCs w:val="32"/>
        </w:rPr>
        <w:t>实现</w:t>
      </w:r>
      <w:r>
        <w:rPr>
          <w:rFonts w:ascii="仿宋_GB2312" w:eastAsia="仿宋_GB2312" w:hint="eastAsia"/>
          <w:sz w:val="32"/>
          <w:szCs w:val="32"/>
        </w:rPr>
        <w:t>业务</w:t>
      </w:r>
      <w:r>
        <w:rPr>
          <w:rFonts w:ascii="仿宋_GB2312" w:eastAsia="仿宋_GB2312" w:cs="仿宋" w:hint="eastAsia"/>
          <w:sz w:val="32"/>
          <w:szCs w:val="32"/>
        </w:rPr>
        <w:t>升级和机构升格，增强金融业辐射能力</w:t>
      </w:r>
      <w:r>
        <w:rPr>
          <w:rFonts w:ascii="仿宋_GB2312" w:eastAsia="仿宋_GB2312" w:hint="eastAsia"/>
          <w:sz w:val="32"/>
          <w:szCs w:val="32"/>
        </w:rPr>
        <w:t>。</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4.发挥地方金融机构功能。</w:t>
      </w:r>
      <w:r>
        <w:rPr>
          <w:rFonts w:ascii="仿宋_GB2312" w:eastAsia="仿宋_GB2312" w:cs="仿宋_GB2312" w:hint="eastAsia"/>
          <w:color w:val="000000"/>
          <w:kern w:val="0"/>
          <w:sz w:val="32"/>
          <w:szCs w:val="32"/>
        </w:rPr>
        <w:t>稳健发展小额贷款、融资性担保、商业保理、融资租赁、典当等地方金融机构，支持其</w:t>
      </w:r>
      <w:r>
        <w:rPr>
          <w:rFonts w:ascii="仿宋_GB2312" w:eastAsia="仿宋_GB2312" w:cs="仿宋_GB2312" w:hint="eastAsia"/>
          <w:color w:val="000000"/>
          <w:kern w:val="0"/>
          <w:sz w:val="32"/>
          <w:szCs w:val="32"/>
        </w:rPr>
        <w:lastRenderedPageBreak/>
        <w:t>在合规前提下，以厦门为总部拓展区域及全国市场。发挥地方金融协会的作用，推动地方金融机构与银行、保险、信托、基金等机构合作，提供“投保联动”“投贷联动”等创新金融服务。支持符合条件的产业集团申设地方金融机构牌照，为产业链上下游企业提供金融服务。拓宽地方金融机构融资渠道，支持地方金融机构利用境内外资本市场开展资产证券化、发行可转债、开展资产转让等业务。</w:t>
      </w:r>
    </w:p>
    <w:p w:rsidR="00BC3900" w:rsidRDefault="00BC3900" w:rsidP="00BC3900">
      <w:pPr>
        <w:widowControl/>
        <w:spacing w:line="620" w:lineRule="exact"/>
        <w:ind w:firstLineChars="200" w:firstLine="640"/>
        <w:rPr>
          <w:rFonts w:ascii="楷体_GB2312" w:eastAsia="楷体_GB2312" w:cs="楷体"/>
          <w:color w:val="000000"/>
          <w:kern w:val="0"/>
          <w:sz w:val="32"/>
          <w:szCs w:val="32"/>
        </w:rPr>
      </w:pPr>
      <w:r>
        <w:rPr>
          <w:rFonts w:ascii="楷体_GB2312" w:eastAsia="楷体_GB2312" w:cs="楷体" w:hint="eastAsia"/>
          <w:color w:val="000000"/>
          <w:kern w:val="0"/>
          <w:sz w:val="32"/>
          <w:szCs w:val="32"/>
        </w:rPr>
        <w:t>(二）强化金融服务实体经济，实现经济高质量发展</w:t>
      </w:r>
    </w:p>
    <w:p w:rsidR="00BC3900" w:rsidRDefault="00BC3900" w:rsidP="00BC3900">
      <w:pPr>
        <w:widowControl/>
        <w:spacing w:line="620" w:lineRule="exact"/>
        <w:ind w:firstLineChars="200" w:firstLine="643"/>
        <w:rPr>
          <w:rFonts w:ascii="仿宋_GB2312" w:eastAsia="仿宋_GB2312" w:cs="楷体"/>
          <w:color w:val="000000"/>
          <w:kern w:val="0"/>
          <w:sz w:val="32"/>
          <w:szCs w:val="32"/>
        </w:rPr>
      </w:pPr>
      <w:r>
        <w:rPr>
          <w:rFonts w:ascii="仿宋_GB2312" w:eastAsia="仿宋_GB2312" w:cs="楷体" w:hint="eastAsia"/>
          <w:b/>
          <w:bCs/>
          <w:color w:val="000000"/>
          <w:kern w:val="0"/>
          <w:sz w:val="32"/>
          <w:szCs w:val="32"/>
        </w:rPr>
        <w:t>1.加大银行融资支持力度。</w:t>
      </w:r>
      <w:r>
        <w:rPr>
          <w:rFonts w:ascii="仿宋_GB2312" w:eastAsia="仿宋_GB2312" w:cs="楷体" w:hint="eastAsia"/>
          <w:color w:val="000000"/>
          <w:kern w:val="0"/>
          <w:sz w:val="32"/>
          <w:szCs w:val="32"/>
        </w:rPr>
        <w:t>围绕我市现代产业体系建设，引导各银行业机构主动对接产业转型升级的资金需求，科学制定信贷计划，针对我市重点发展的计算机与通讯设备、平板显示、生物医药、软件信息等产业链（群）和高科技高成长高附加值企业发展所处的周期阶段，合理设置授信总量、设计授信结构，提供差异化信贷产品服务。完善银行机构对兼并重组的信贷服务，鼓励金融机构采取联合贷款、杠杆收购贷款等形式，支持龙头企业和优质上市公司开展兼并重组。鼓励银行发挥集团优势，通过资管、投行等渠道创新融资模式，服务于企业全生命期融资需求。探索开展企业集团财务公司延伸产业链金融服务，为产业链上下游企业提供资金支持。</w:t>
      </w:r>
    </w:p>
    <w:p w:rsidR="00BC3900" w:rsidRDefault="00BC3900" w:rsidP="00BC3900">
      <w:pPr>
        <w:widowControl/>
        <w:spacing w:line="620" w:lineRule="exact"/>
        <w:ind w:firstLineChars="200" w:firstLine="643"/>
        <w:rPr>
          <w:rFonts w:ascii="仿宋_GB2312" w:eastAsia="仿宋_GB2312" w:cs="楷体"/>
          <w:color w:val="000000"/>
          <w:kern w:val="0"/>
          <w:sz w:val="32"/>
          <w:szCs w:val="32"/>
        </w:rPr>
      </w:pPr>
      <w:r>
        <w:rPr>
          <w:rFonts w:ascii="仿宋_GB2312" w:eastAsia="仿宋_GB2312" w:cs="楷体" w:hint="eastAsia"/>
          <w:b/>
          <w:bCs/>
          <w:color w:val="000000"/>
          <w:kern w:val="0"/>
          <w:sz w:val="32"/>
          <w:szCs w:val="32"/>
        </w:rPr>
        <w:t>2.稳步提升直接融资比重。</w:t>
      </w:r>
      <w:r>
        <w:rPr>
          <w:rFonts w:ascii="仿宋_GB2312" w:eastAsia="仿宋_GB2312" w:cs="楷体" w:hint="eastAsia"/>
          <w:color w:val="000000"/>
          <w:kern w:val="0"/>
          <w:sz w:val="32"/>
          <w:szCs w:val="32"/>
        </w:rPr>
        <w:t>支持已上市公司通过再融资、发行债券等方式，从资本市场筹措资金。加强创新债券品种</w:t>
      </w:r>
      <w:r>
        <w:rPr>
          <w:rFonts w:ascii="仿宋_GB2312" w:eastAsia="仿宋_GB2312" w:cs="楷体" w:hint="eastAsia"/>
          <w:color w:val="000000"/>
          <w:kern w:val="0"/>
          <w:sz w:val="32"/>
          <w:szCs w:val="32"/>
        </w:rPr>
        <w:lastRenderedPageBreak/>
        <w:t>的宣传推介和辅导，提升债券发行主体信息披露意识和规范运作水平，支持符合条件的企业发行并购重组债券、可转换债券、项目收益债券、可续期债券等扩大融资规模。</w:t>
      </w:r>
      <w:r>
        <w:rPr>
          <w:rFonts w:ascii="仿宋_GB2312" w:eastAsia="仿宋_GB2312" w:cs="楷体" w:hint="eastAsia"/>
          <w:kern w:val="0"/>
          <w:sz w:val="32"/>
          <w:szCs w:val="32"/>
        </w:rPr>
        <w:t>支持政策性融资担保公司为中小企业发行债券融资提供担保增信支持。鼓励依托龙头企业较高的主体信用评级，发行供应链票据，助力产业链企业融资、协调发展。</w:t>
      </w:r>
    </w:p>
    <w:p w:rsidR="00BC3900" w:rsidRDefault="00BC3900" w:rsidP="00BC3900">
      <w:pPr>
        <w:widowControl/>
        <w:spacing w:line="620" w:lineRule="exact"/>
        <w:ind w:firstLineChars="200" w:firstLine="643"/>
        <w:rPr>
          <w:rFonts w:ascii="仿宋_GB2312" w:eastAsia="仿宋_GB2312" w:cs="楷体"/>
          <w:kern w:val="0"/>
          <w:sz w:val="32"/>
          <w:szCs w:val="32"/>
        </w:rPr>
      </w:pPr>
      <w:r>
        <w:rPr>
          <w:rFonts w:ascii="仿宋_GB2312" w:eastAsia="仿宋_GB2312" w:cs="楷体" w:hint="eastAsia"/>
          <w:b/>
          <w:bCs/>
          <w:kern w:val="0"/>
          <w:sz w:val="32"/>
          <w:szCs w:val="32"/>
        </w:rPr>
        <w:t>3.大力建设多层次资本市场。</w:t>
      </w:r>
      <w:r>
        <w:rPr>
          <w:rFonts w:ascii="仿宋_GB2312" w:eastAsia="仿宋_GB2312" w:cs="仿宋" w:hint="eastAsia"/>
          <w:sz w:val="32"/>
          <w:szCs w:val="32"/>
        </w:rPr>
        <w:t>加强政府、企业与境内外证券交易所业务联动，积极对接注册制改革，共建资本市场服务基地，</w:t>
      </w:r>
      <w:r>
        <w:rPr>
          <w:rFonts w:ascii="仿宋_GB2312" w:eastAsia="仿宋_GB2312" w:cs="楷体" w:hint="eastAsia"/>
          <w:kern w:val="0"/>
          <w:sz w:val="32"/>
          <w:szCs w:val="32"/>
        </w:rPr>
        <w:t>完善上市企业资源储备库建设，进一步上市后备企业培育和扶持力度，支持更多企业通过境内外、多层次资本市场上市融资。</w:t>
      </w:r>
      <w:r>
        <w:rPr>
          <w:rFonts w:ascii="仿宋_GB2312" w:eastAsia="仿宋_GB2312" w:cs="仿宋" w:hint="eastAsia"/>
          <w:sz w:val="32"/>
          <w:szCs w:val="32"/>
        </w:rPr>
        <w:t>鼓励上市公司并购重组和引进战略投资者，增强主业竞争力。</w:t>
      </w:r>
      <w:r>
        <w:rPr>
          <w:rFonts w:ascii="仿宋_GB2312" w:eastAsia="仿宋_GB2312" w:cs="楷体" w:hint="eastAsia"/>
          <w:kern w:val="0"/>
          <w:sz w:val="32"/>
          <w:szCs w:val="32"/>
        </w:rPr>
        <w:t>依托厦门两岸股权交易中心，打造</w:t>
      </w:r>
      <w:r>
        <w:rPr>
          <w:rFonts w:ascii="仿宋_GB2312" w:eastAsia="仿宋_GB2312" w:cs="仿宋" w:hint="eastAsia"/>
          <w:sz w:val="32"/>
          <w:szCs w:val="32"/>
        </w:rPr>
        <w:t>政府扶持中小微企业政策的综合运用平台，</w:t>
      </w:r>
      <w:r>
        <w:rPr>
          <w:rFonts w:ascii="仿宋_GB2312" w:eastAsia="仿宋_GB2312" w:cs="楷体" w:hint="eastAsia"/>
          <w:kern w:val="0"/>
          <w:sz w:val="32"/>
          <w:szCs w:val="32"/>
        </w:rPr>
        <w:t>以小微企业</w:t>
      </w:r>
      <w:r>
        <w:rPr>
          <w:rFonts w:ascii="仿宋_GB2312" w:eastAsia="仿宋_GB2312" w:cs="仿宋" w:hint="eastAsia"/>
          <w:sz w:val="32"/>
          <w:szCs w:val="32"/>
        </w:rPr>
        <w:t>股改规范、培育孵化为重点</w:t>
      </w:r>
      <w:r>
        <w:rPr>
          <w:rFonts w:ascii="仿宋_GB2312" w:eastAsia="仿宋_GB2312" w:cs="楷体" w:hint="eastAsia"/>
          <w:kern w:val="0"/>
          <w:sz w:val="32"/>
          <w:szCs w:val="32"/>
        </w:rPr>
        <w:t>，创建高效、低成本的直接融资渠道。</w:t>
      </w:r>
    </w:p>
    <w:p w:rsidR="00E867D3" w:rsidRDefault="00BC3900" w:rsidP="00E867D3">
      <w:pPr>
        <w:widowControl/>
        <w:spacing w:line="620" w:lineRule="exact"/>
        <w:ind w:firstLineChars="200" w:firstLine="643"/>
      </w:pPr>
      <w:r>
        <w:rPr>
          <w:rFonts w:ascii="仿宋_GB2312" w:eastAsia="仿宋_GB2312" w:cs="楷体" w:hint="eastAsia"/>
          <w:b/>
          <w:bCs/>
          <w:color w:val="000000"/>
          <w:kern w:val="0"/>
          <w:sz w:val="32"/>
          <w:szCs w:val="32"/>
        </w:rPr>
        <w:t>4.强化保险保障功能。</w:t>
      </w:r>
      <w:r>
        <w:rPr>
          <w:rFonts w:ascii="仿宋_GB2312" w:eastAsia="仿宋_GB2312" w:cs="楷体" w:hint="eastAsia"/>
          <w:kern w:val="0"/>
          <w:sz w:val="32"/>
          <w:szCs w:val="32"/>
        </w:rPr>
        <w:t>深化厦门全国保险改革发展试验区建设，拓展保险服务功能，促进经济社会发展提质增效。支持法人保险机构扎根厦门，稳步推进厦门以外分支机构布局和设立，</w:t>
      </w:r>
      <w:r>
        <w:rPr>
          <w:rFonts w:ascii="仿宋_GB2312" w:eastAsia="仿宋_GB2312" w:hint="eastAsia"/>
          <w:sz w:val="32"/>
          <w:szCs w:val="32"/>
        </w:rPr>
        <w:t>鼓励保险公司、保险中介机构加强科技创新，</w:t>
      </w:r>
      <w:r>
        <w:rPr>
          <w:rFonts w:ascii="仿宋_GB2312" w:eastAsia="仿宋_GB2312" w:cs="楷体" w:hint="eastAsia"/>
          <w:kern w:val="0"/>
          <w:sz w:val="32"/>
          <w:szCs w:val="32"/>
        </w:rPr>
        <w:t>推动厦台保险服务对接升级。深化保险市场化改革，鼓励通过多种方式购买保险服务，构筑保险民生保障网，支持养老保险、健康保险、食品安全、环境污染责任、医疗责任等险种创新。推动保险服务经济结构调整，深入开展企业财产保险、</w:t>
      </w:r>
      <w:r>
        <w:rPr>
          <w:rFonts w:ascii="仿宋_GB2312" w:eastAsia="仿宋_GB2312" w:cs="楷体" w:hint="eastAsia"/>
          <w:kern w:val="0"/>
          <w:sz w:val="32"/>
          <w:szCs w:val="32"/>
        </w:rPr>
        <w:lastRenderedPageBreak/>
        <w:t>工程保险、</w:t>
      </w:r>
      <w:r>
        <w:rPr>
          <w:rFonts w:ascii="仿宋_GB2312" w:eastAsia="仿宋_GB2312" w:hint="eastAsia"/>
          <w:sz w:val="32"/>
          <w:szCs w:val="32"/>
        </w:rPr>
        <w:t>科技保险、贷款保证保险、专利保险等业务。</w:t>
      </w:r>
      <w:r>
        <w:rPr>
          <w:rFonts w:ascii="仿宋_GB2312" w:eastAsia="仿宋_GB2312" w:cs="楷体" w:hint="eastAsia"/>
          <w:kern w:val="0"/>
          <w:sz w:val="32"/>
          <w:szCs w:val="32"/>
        </w:rPr>
        <w:t>发挥出口信用保险、海外投资险等作用，支持企业“走出去”的力度。通过债权、股权、资产管理计划等方式，引进各类保险资金支持厦门重大基础设施项目建设和龙头产业发展。</w:t>
      </w:r>
    </w:p>
    <w:p w:rsidR="00BC3900" w:rsidRPr="00E867D3" w:rsidRDefault="00BC3900" w:rsidP="00E867D3">
      <w:pPr>
        <w:widowControl/>
        <w:spacing w:line="620" w:lineRule="exact"/>
      </w:pPr>
    </w:p>
    <w:tbl>
      <w:tblPr>
        <w:tblpPr w:leftFromText="180" w:rightFromText="180" w:vertAnchor="text" w:horzAnchor="page" w:tblpX="1734" w:tblpY="-1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E867D3" w:rsidTr="00323027">
        <w:tc>
          <w:tcPr>
            <w:tcW w:w="8522" w:type="dxa"/>
            <w:tcBorders>
              <w:top w:val="single" w:sz="4" w:space="0" w:color="auto"/>
              <w:left w:val="single" w:sz="4" w:space="0" w:color="auto"/>
              <w:bottom w:val="single" w:sz="4" w:space="0" w:color="auto"/>
              <w:right w:val="single" w:sz="4" w:space="0" w:color="auto"/>
            </w:tcBorders>
          </w:tcPr>
          <w:p w:rsidR="00E867D3" w:rsidRDefault="00E867D3" w:rsidP="00323027">
            <w:pPr>
              <w:widowControl/>
              <w:jc w:val="center"/>
              <w:rPr>
                <w:rFonts w:ascii="仿宋_GB2312" w:eastAsia="仿宋_GB2312" w:cs="楷体"/>
                <w:b/>
                <w:bCs/>
                <w:kern w:val="0"/>
                <w:sz w:val="32"/>
                <w:szCs w:val="32"/>
              </w:rPr>
            </w:pPr>
            <w:r>
              <w:rPr>
                <w:rFonts w:ascii="仿宋_GB2312" w:eastAsia="仿宋_GB2312" w:cs="楷体" w:hint="eastAsia"/>
                <w:b/>
                <w:bCs/>
                <w:kern w:val="0"/>
                <w:sz w:val="32"/>
                <w:szCs w:val="32"/>
              </w:rPr>
              <w:t>专栏：构建金融发展与实体经济的良性循环机制</w:t>
            </w:r>
          </w:p>
        </w:tc>
      </w:tr>
      <w:tr w:rsidR="00E867D3" w:rsidTr="00323027">
        <w:tc>
          <w:tcPr>
            <w:tcW w:w="8522" w:type="dxa"/>
            <w:tcBorders>
              <w:top w:val="single" w:sz="4" w:space="0" w:color="auto"/>
              <w:left w:val="single" w:sz="4" w:space="0" w:color="auto"/>
              <w:bottom w:val="single" w:sz="4" w:space="0" w:color="auto"/>
              <w:right w:val="single" w:sz="4" w:space="0" w:color="auto"/>
            </w:tcBorders>
            <w:vAlign w:val="center"/>
          </w:tcPr>
          <w:p w:rsidR="00E867D3" w:rsidRDefault="00E867D3" w:rsidP="00323027">
            <w:pPr>
              <w:widowControl/>
              <w:jc w:val="center"/>
              <w:rPr>
                <w:rFonts w:ascii="仿宋" w:eastAsia="仿宋" w:cs="楷体"/>
                <w:kern w:val="0"/>
                <w:sz w:val="32"/>
                <w:szCs w:val="32"/>
              </w:rPr>
            </w:pPr>
            <w:r w:rsidRPr="00E867D3">
              <w:rPr>
                <w:rFonts w:ascii="仿宋" w:eastAsia="仿宋" w:cs="楷体"/>
                <w:kern w:val="0"/>
                <w:sz w:val="32"/>
                <w:szCs w:val="32"/>
              </w:rPr>
              <w:drawing>
                <wp:inline distT="0" distB="0" distL="0" distR="0">
                  <wp:extent cx="4640580" cy="3185160"/>
                  <wp:effectExtent l="19050" t="0" r="762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4640580" cy="3185160"/>
                          </a:xfrm>
                          <a:prstGeom prst="rect">
                            <a:avLst/>
                          </a:prstGeom>
                          <a:noFill/>
                          <a:ln w="9525">
                            <a:noFill/>
                            <a:miter lim="800000"/>
                            <a:headEnd/>
                            <a:tailEnd/>
                          </a:ln>
                        </pic:spPr>
                      </pic:pic>
                    </a:graphicData>
                  </a:graphic>
                </wp:inline>
              </w:drawing>
            </w:r>
          </w:p>
        </w:tc>
      </w:tr>
    </w:tbl>
    <w:p w:rsidR="00BC3900" w:rsidRDefault="00BC3900" w:rsidP="00BC3900">
      <w:pPr>
        <w:spacing w:line="600" w:lineRule="exact"/>
        <w:ind w:firstLineChars="200" w:firstLine="640"/>
        <w:rPr>
          <w:rFonts w:ascii="楷体_GB2312" w:eastAsia="楷体_GB2312" w:cs="仿宋_GB2312"/>
          <w:bCs/>
          <w:color w:val="000000"/>
          <w:kern w:val="0"/>
          <w:sz w:val="32"/>
          <w:szCs w:val="32"/>
        </w:rPr>
      </w:pPr>
      <w:r>
        <w:rPr>
          <w:rFonts w:ascii="楷体_GB2312" w:eastAsia="楷体_GB2312" w:cs="仿宋_GB2312" w:hint="eastAsia"/>
          <w:bCs/>
          <w:color w:val="000000"/>
          <w:kern w:val="0"/>
          <w:sz w:val="32"/>
          <w:szCs w:val="32"/>
        </w:rPr>
        <w:t>（三）做优特色金融业务，探索产融协调发展新路径</w:t>
      </w:r>
    </w:p>
    <w:p w:rsidR="00BC3900" w:rsidRDefault="00BC3900" w:rsidP="00BC3900">
      <w:pPr>
        <w:spacing w:line="60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1.大力发展科创金融。</w:t>
      </w:r>
      <w:r>
        <w:rPr>
          <w:rFonts w:ascii="仿宋_GB2312" w:eastAsia="仿宋_GB2312" w:cs="仿宋_GB2312" w:hint="eastAsia"/>
          <w:color w:val="000000"/>
          <w:kern w:val="0"/>
          <w:sz w:val="32"/>
          <w:szCs w:val="32"/>
        </w:rPr>
        <w:t>鼓励金融机构设立科创金融专营机构，探索建立对科创企业技术成果、市场前景的科学评估体系，做大科创企业信用贷款、知识产权抵押贷款、应收账款抵押贷款等业务规模。构建多类型金融主体参与的科创金融融资服务平台，导入风险补偿基金、政策性保险、政策性担保等政策资源，提供“孵化贷”“成长贷”“上市贷”等</w:t>
      </w:r>
      <w:r>
        <w:rPr>
          <w:rFonts w:ascii="仿宋_GB2312" w:eastAsia="仿宋_GB2312" w:cs="仿宋_GB2312" w:hint="eastAsia"/>
          <w:color w:val="000000"/>
          <w:kern w:val="0"/>
          <w:sz w:val="32"/>
          <w:szCs w:val="32"/>
        </w:rPr>
        <w:lastRenderedPageBreak/>
        <w:t>覆盖企业全成长周期的科技金融产品。推动工商、税务、社保等涉企信用信息互联互通，探索信用信息商业化运作。构建银行、保险、融资担保、融资租赁、股权股权投资等多方联动、利益共享、风险共担机制，扩大科技企业股权融资，运用产业引导基金、风险补偿等工具引领种子投资、天使投资、创业投资等各类基金加大对创新创业和科技成果转化投资，支持科创企业赴境内资本市场上市融资。</w:t>
      </w:r>
    </w:p>
    <w:p w:rsidR="00BC3900" w:rsidRDefault="00BC3900" w:rsidP="00BC3900">
      <w:pPr>
        <w:spacing w:line="60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2.鼓励发展普惠金融。</w:t>
      </w:r>
      <w:r>
        <w:rPr>
          <w:rFonts w:ascii="仿宋_GB2312" w:eastAsia="仿宋_GB2312" w:cs="仿宋_GB2312" w:hint="eastAsia"/>
          <w:color w:val="000000"/>
          <w:kern w:val="0"/>
          <w:sz w:val="32"/>
          <w:szCs w:val="32"/>
        </w:rPr>
        <w:t>进一步完善线上线下普惠金融服务体系，支持金融机构扎根基层、服务社区、走进园区，</w:t>
      </w:r>
      <w:r>
        <w:rPr>
          <w:rFonts w:ascii="仿宋_GB2312" w:eastAsia="仿宋_GB2312" w:cs="仿宋_GB2312" w:hint="eastAsia"/>
          <w:bCs/>
          <w:color w:val="000000"/>
          <w:kern w:val="0"/>
          <w:sz w:val="32"/>
          <w:szCs w:val="32"/>
        </w:rPr>
        <w:t>为小微企业、“三农”、社区居民提供更针对性、精准化、便利化的金融服务。</w:t>
      </w:r>
      <w:r>
        <w:rPr>
          <w:rFonts w:ascii="仿宋_GB2312" w:eastAsia="仿宋_GB2312" w:cs="仿宋_GB2312" w:hint="eastAsia"/>
          <w:color w:val="000000"/>
          <w:kern w:val="0"/>
          <w:sz w:val="32"/>
          <w:szCs w:val="32"/>
        </w:rPr>
        <w:t>探索和规范发展各类新型金融服务机构，为创新创业群体、小微企业、农户等提供融资服务。鼓励金融机构创新运用金融科技手段，为客户设计更加个性化、高效化的金融服务方案。依托全国信用大数据厦门创新中心、厦门市公共信用信息平台，建立健全普惠金融信用信息体系。加强政策引导和激励，按照保基本、可持续、分重点的原则，对普惠金融相关业务或机构给予支持。</w:t>
      </w:r>
    </w:p>
    <w:p w:rsidR="00BC3900" w:rsidRDefault="00BC3900" w:rsidP="00BC3900">
      <w:pPr>
        <w:spacing w:line="60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3.积极发展绿色金融。</w:t>
      </w:r>
      <w:r>
        <w:rPr>
          <w:rFonts w:ascii="仿宋_GB2312" w:eastAsia="仿宋_GB2312" w:cs="仿宋_GB2312" w:hint="eastAsia"/>
          <w:bCs/>
          <w:color w:val="000000"/>
          <w:kern w:val="0"/>
          <w:sz w:val="32"/>
          <w:szCs w:val="32"/>
        </w:rPr>
        <w:t>完善绿色项目库并实施动态管理，建立含绿色行业、项目、客户等多维度信息的的“绿色项目清单”，丰富绿色金融服务对象。</w:t>
      </w:r>
      <w:r>
        <w:rPr>
          <w:rFonts w:ascii="仿宋_GB2312" w:eastAsia="仿宋_GB2312" w:cs="仿宋_GB2312" w:hint="eastAsia"/>
          <w:color w:val="000000"/>
          <w:kern w:val="0"/>
          <w:sz w:val="32"/>
          <w:szCs w:val="32"/>
        </w:rPr>
        <w:t>推动金融机构设立绿色金融事业部、绿色金融专营机构，引导银行机构加大对绿色环保产业信贷投入力度，发展排污权抵押贷款、合同能源管理融资等融资产品。鼓励社会资本设立绿色产业投资基金，加</w:t>
      </w:r>
      <w:r>
        <w:rPr>
          <w:rFonts w:ascii="仿宋_GB2312" w:eastAsia="仿宋_GB2312" w:cs="仿宋_GB2312" w:hint="eastAsia"/>
          <w:color w:val="000000"/>
          <w:kern w:val="0"/>
          <w:sz w:val="32"/>
          <w:szCs w:val="32"/>
        </w:rPr>
        <w:lastRenderedPageBreak/>
        <w:t>快培育绿色评级、绿色技术服务以及环境风险评估等专业服务机构。支持有条件的金融机构、企业发行绿色债券，探索发展绿色资产支持证券，</w:t>
      </w:r>
      <w:r>
        <w:rPr>
          <w:rFonts w:ascii="仿宋_GB2312" w:eastAsia="仿宋_GB2312" w:cs="仿宋_GB2312" w:hint="eastAsia"/>
          <w:bCs/>
          <w:color w:val="000000"/>
          <w:kern w:val="0"/>
          <w:sz w:val="32"/>
          <w:szCs w:val="32"/>
        </w:rPr>
        <w:t>培育绿色金融和环境权益交易市场，完善定价机制和交易规则，</w:t>
      </w:r>
      <w:r>
        <w:rPr>
          <w:rFonts w:ascii="仿宋_GB2312" w:eastAsia="仿宋_GB2312" w:cs="仿宋_GB2312" w:hint="eastAsia"/>
          <w:color w:val="000000"/>
          <w:kern w:val="0"/>
          <w:sz w:val="32"/>
          <w:szCs w:val="32"/>
        </w:rPr>
        <w:t>开展碳金融融资产品创新。鼓励开展绿色保险，完善环境风险管理和补偿机制。注重绿色金融发展国际合作，鼓励金融机构申请采纳赤道原则，争取加入联合国环境规划署“全球金融中心城市绿色金融联盟”，联合绿色和平等国际组织以及中国绿金委召开绿色投资论坛等高端会议，提升国际影响力。</w:t>
      </w:r>
    </w:p>
    <w:p w:rsidR="00BC3900" w:rsidRDefault="00BC3900" w:rsidP="00BC3900">
      <w:pPr>
        <w:widowControl/>
        <w:ind w:firstLineChars="200" w:firstLine="640"/>
        <w:rPr>
          <w:rFonts w:ascii="仿宋_GB2312" w:eastAsia="仿宋_GB2312" w:cs="仿宋_GB2312"/>
          <w:color w:val="000000"/>
          <w:kern w:val="0"/>
          <w:sz w:val="32"/>
          <w:szCs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32"/>
      </w:tblGrid>
      <w:tr w:rsidR="00BC3900" w:rsidTr="006F7FD3">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专栏：构建绿色金融服务体系</w:t>
            </w:r>
          </w:p>
        </w:tc>
      </w:tr>
      <w:tr w:rsidR="00BC3900" w:rsidTr="006F7FD3">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widowControl/>
              <w:spacing w:line="560" w:lineRule="exact"/>
              <w:ind w:firstLineChars="167" w:firstLine="534"/>
              <w:rPr>
                <w:rFonts w:ascii="仿宋_GB2312" w:eastAsia="仿宋_GB2312" w:cs="仿宋_GB2312"/>
                <w:b/>
                <w:bCs/>
                <w:color w:val="000000"/>
                <w:kern w:val="0"/>
                <w:sz w:val="32"/>
                <w:szCs w:val="32"/>
              </w:rPr>
            </w:pPr>
            <w:r>
              <w:rPr>
                <w:rFonts w:ascii="仿宋_GB2312" w:eastAsia="仿宋_GB2312" w:cs="仿宋_GB2312" w:hint="eastAsia"/>
                <w:bCs/>
                <w:color w:val="000000"/>
                <w:kern w:val="0"/>
                <w:sz w:val="32"/>
                <w:szCs w:val="32"/>
              </w:rPr>
              <w:t>绿色金融指为支持环境改善、应对气候变化和资源节约高效利用的经济活动，即对环保、节能、清洁能源、绿色交通、绿色建筑等领域的项目投融资、项目运营、风险管理等所提供的金融服务。到2025年，厦门争取建立包括绿色信贷、绿色债券、绿色投资基金、绿色保险、碳金融等多个业务领域，支持经济向绿色化转型的金融工具和相关政策制度安排较为齐备的厦门绿色金融服务体系，动员和激励更多社会资本投入到绿色产业，同时更加有效抑制污染性投资</w:t>
            </w:r>
            <w:r>
              <w:rPr>
                <w:rFonts w:ascii="仿宋_GB2312" w:eastAsia="仿宋_GB2312" w:cs="仿宋_GB2312" w:hint="eastAsia"/>
                <w:color w:val="000000"/>
                <w:kern w:val="0"/>
                <w:sz w:val="32"/>
                <w:szCs w:val="32"/>
              </w:rPr>
              <w:t>，</w:t>
            </w:r>
            <w:r>
              <w:rPr>
                <w:rFonts w:ascii="仿宋_GB2312" w:eastAsia="仿宋_GB2312" w:cs="仿宋_GB2312" w:hint="eastAsia"/>
                <w:bCs/>
                <w:color w:val="000000"/>
                <w:kern w:val="0"/>
                <w:sz w:val="32"/>
                <w:szCs w:val="32"/>
              </w:rPr>
              <w:t>支持生态文明建设，提升经济增长潜力，助力打造高颜值生态花园之城。</w:t>
            </w:r>
          </w:p>
        </w:tc>
      </w:tr>
    </w:tbl>
    <w:p w:rsidR="00BC3900" w:rsidRDefault="00BC3900" w:rsidP="00BC3900">
      <w:pPr>
        <w:widowControl/>
        <w:ind w:firstLineChars="200" w:firstLine="643"/>
        <w:rPr>
          <w:rFonts w:ascii="仿宋_GB2312" w:eastAsia="仿宋_GB2312" w:cs="仿宋_GB2312"/>
          <w:b/>
          <w:bCs/>
          <w:color w:val="000000"/>
          <w:kern w:val="0"/>
          <w:sz w:val="32"/>
          <w:szCs w:val="32"/>
        </w:rPr>
      </w:pPr>
    </w:p>
    <w:p w:rsidR="00BC3900" w:rsidRDefault="00BC3900" w:rsidP="00BC3900">
      <w:pPr>
        <w:spacing w:line="580" w:lineRule="exact"/>
        <w:ind w:firstLineChars="200" w:firstLine="643"/>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4.创新发展航空航运金融。</w:t>
      </w:r>
      <w:r>
        <w:rPr>
          <w:rFonts w:ascii="仿宋_GB2312" w:eastAsia="仿宋_GB2312" w:cs="仿宋_GB2312" w:hint="eastAsia"/>
          <w:color w:val="000000"/>
          <w:kern w:val="0"/>
          <w:sz w:val="32"/>
          <w:szCs w:val="32"/>
        </w:rPr>
        <w:t>以发展“丝路海运”为契机，</w:t>
      </w:r>
      <w:r>
        <w:rPr>
          <w:rFonts w:ascii="仿宋_GB2312" w:eastAsia="仿宋_GB2312" w:cs="仿宋_GB2312" w:hint="eastAsia"/>
          <w:color w:val="000000"/>
          <w:kern w:val="0"/>
          <w:sz w:val="32"/>
          <w:szCs w:val="32"/>
        </w:rPr>
        <w:lastRenderedPageBreak/>
        <w:t>引进境内外保险、融资租赁及相关中介服务机构入驻厦门航运金融服务平台，丰富船舶租赁、船舶融资和保险、资产转让、资金结算、航运金融工具衍生品等金融服务功能。依托厦门港口、造船、航空等产业优势，鼓励发展飞机船舶融资租赁业务，扩大异地航司飞机租赁业务规模，支持融资租赁资产通过地方金融资产交易市场进行交易转让，支持保险机构为融资租赁企业提供融资增信，拓宽融资渠道。积极引进老旧飞机资产评估机构、飞机报废和拆解机构、航材供应链服务机构、船舶评估机构、船舶经纪人、海事仲裁和法律服务援助等航运金融配套服务机构。</w:t>
      </w:r>
    </w:p>
    <w:p w:rsidR="00BC3900" w:rsidRDefault="00BC3900" w:rsidP="00BC3900">
      <w:pPr>
        <w:widowControl/>
        <w:ind w:firstLineChars="200" w:firstLine="640"/>
        <w:rPr>
          <w:rFonts w:ascii="仿宋_GB2312" w:eastAsia="仿宋_GB2312" w:cs="仿宋_GB2312"/>
          <w:color w:val="000000"/>
          <w:kern w:val="0"/>
          <w:sz w:val="32"/>
          <w:szCs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8"/>
      </w:tblGrid>
      <w:tr w:rsidR="00BC3900" w:rsidTr="006F7FD3">
        <w:tc>
          <w:tcPr>
            <w:tcW w:w="8568" w:type="dxa"/>
            <w:tcBorders>
              <w:top w:val="single" w:sz="4" w:space="0" w:color="auto"/>
              <w:left w:val="single" w:sz="4" w:space="0" w:color="auto"/>
              <w:bottom w:val="single" w:sz="4" w:space="0" w:color="auto"/>
              <w:right w:val="single" w:sz="4" w:space="0" w:color="auto"/>
            </w:tcBorders>
          </w:tcPr>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专栏：厦门航空航运金融发展定位</w:t>
            </w:r>
          </w:p>
        </w:tc>
      </w:tr>
      <w:tr w:rsidR="00BC3900" w:rsidTr="006F7FD3">
        <w:tc>
          <w:tcPr>
            <w:tcW w:w="8568" w:type="dxa"/>
            <w:tcBorders>
              <w:top w:val="single" w:sz="4" w:space="0" w:color="auto"/>
              <w:left w:val="single" w:sz="4" w:space="0" w:color="auto"/>
              <w:bottom w:val="single" w:sz="4" w:space="0" w:color="auto"/>
              <w:right w:val="single" w:sz="4" w:space="0" w:color="auto"/>
            </w:tcBorders>
          </w:tcPr>
          <w:p w:rsidR="00BC3900" w:rsidRDefault="00BC3900" w:rsidP="006F7FD3">
            <w:pPr>
              <w:widowControl/>
              <w:ind w:firstLineChars="200" w:firstLine="640"/>
              <w:rPr>
                <w:rFonts w:ascii="仿宋_GB2312" w:eastAsia="仿宋_GB2312" w:cs="仿宋_GB2312"/>
                <w:color w:val="000000"/>
                <w:kern w:val="0"/>
                <w:sz w:val="32"/>
                <w:szCs w:val="32"/>
              </w:rPr>
            </w:pPr>
            <w:r>
              <w:rPr>
                <w:rFonts w:ascii="仿宋_GB2312" w:eastAsia="仿宋_GB2312" w:cs="仿宋_GB2312" w:hint="eastAsia"/>
                <w:color w:val="000000"/>
                <w:kern w:val="0"/>
                <w:sz w:val="32"/>
                <w:szCs w:val="32"/>
              </w:rPr>
              <w:t>目前国际航运产业链和价值链主要可分为航运主业、航运辅助业及航运衍生服务业等，其中航运主业包括码头、仓储、货运、保管等港口服务，位于产业链的下游和价值链的低端部分；航运辅助业包括货物运输、船舶租赁、拖船作业、船舶融资等航运服务，位于产业链的中游和价值链的中端部分；航运衍生服务业包括航运金融、保险、融资和海事专业服务，位于产业链的上游和价值链的最高端部分。</w:t>
            </w:r>
          </w:p>
          <w:p w:rsidR="00BC3900" w:rsidRDefault="00BC3900" w:rsidP="006F7FD3">
            <w:pPr>
              <w:widowControl/>
              <w:rPr>
                <w:rFonts w:ascii="仿宋_GB2312" w:eastAsia="仿宋_GB2312" w:cs="仿宋_GB2312"/>
                <w:color w:val="000000"/>
                <w:kern w:val="0"/>
                <w:sz w:val="32"/>
                <w:szCs w:val="32"/>
              </w:rPr>
            </w:pPr>
            <w:r>
              <w:rPr>
                <w:rFonts w:ascii="仿宋_GB2312" w:eastAsia="仿宋_GB2312" w:cs="仿宋_GB2312"/>
                <w:noProof/>
                <w:color w:val="000000"/>
                <w:kern w:val="0"/>
                <w:sz w:val="32"/>
                <w:szCs w:val="32"/>
              </w:rPr>
              <w:lastRenderedPageBreak/>
              <w:drawing>
                <wp:inline distT="0" distB="0" distL="0" distR="0">
                  <wp:extent cx="5227320" cy="1912620"/>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8"/>
                          <a:srcRect/>
                          <a:stretch>
                            <a:fillRect/>
                          </a:stretch>
                        </pic:blipFill>
                        <pic:spPr bwMode="auto">
                          <a:xfrm>
                            <a:off x="0" y="0"/>
                            <a:ext cx="5227320" cy="1912620"/>
                          </a:xfrm>
                          <a:prstGeom prst="rect">
                            <a:avLst/>
                          </a:prstGeom>
                          <a:noFill/>
                          <a:ln w="9525">
                            <a:noFill/>
                            <a:miter lim="800000"/>
                            <a:headEnd/>
                            <a:tailEnd/>
                          </a:ln>
                        </pic:spPr>
                      </pic:pic>
                    </a:graphicData>
                  </a:graphic>
                </wp:inline>
              </w:drawing>
            </w:r>
          </w:p>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图1 航运业价值链</w:t>
            </w:r>
          </w:p>
          <w:p w:rsidR="00BC3900" w:rsidRDefault="00BC3900" w:rsidP="006F7FD3">
            <w:pPr>
              <w:widowControl/>
              <w:jc w:val="center"/>
              <w:rPr>
                <w:rFonts w:ascii="仿宋_GB2312" w:eastAsia="仿宋_GB2312" w:cs="仿宋_GB2312"/>
                <w:color w:val="000000"/>
                <w:kern w:val="0"/>
                <w:sz w:val="32"/>
                <w:szCs w:val="32"/>
              </w:rPr>
            </w:pPr>
            <w:r>
              <w:rPr>
                <w:rFonts w:ascii="仿宋_GB2312" w:eastAsia="仿宋_GB2312" w:cs="仿宋_GB2312"/>
                <w:noProof/>
                <w:color w:val="000000"/>
                <w:kern w:val="0"/>
                <w:sz w:val="32"/>
                <w:szCs w:val="32"/>
              </w:rPr>
              <w:drawing>
                <wp:inline distT="0" distB="0" distL="0" distR="0">
                  <wp:extent cx="4518660" cy="2324100"/>
                  <wp:effectExtent l="19050" t="0" r="0" b="0"/>
                  <wp:docPr id="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a:srcRect/>
                          <a:stretch>
                            <a:fillRect/>
                          </a:stretch>
                        </pic:blipFill>
                        <pic:spPr bwMode="auto">
                          <a:xfrm>
                            <a:off x="0" y="0"/>
                            <a:ext cx="4518660" cy="2324100"/>
                          </a:xfrm>
                          <a:prstGeom prst="rect">
                            <a:avLst/>
                          </a:prstGeom>
                          <a:noFill/>
                          <a:ln w="9525">
                            <a:noFill/>
                            <a:miter lim="800000"/>
                            <a:headEnd/>
                            <a:tailEnd/>
                          </a:ln>
                        </pic:spPr>
                      </pic:pic>
                    </a:graphicData>
                  </a:graphic>
                </wp:inline>
              </w:drawing>
            </w:r>
          </w:p>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图2 国际知名航运中心业务对比</w:t>
            </w:r>
          </w:p>
          <w:p w:rsidR="00BC3900" w:rsidRDefault="00BC3900" w:rsidP="006F7FD3">
            <w:pPr>
              <w:widowControl/>
              <w:ind w:firstLineChars="200" w:firstLine="640"/>
              <w:rPr>
                <w:rFonts w:ascii="仿宋_GB2312" w:eastAsia="仿宋_GB2312" w:cs="仿宋_GB2312"/>
                <w:b/>
                <w:bCs/>
                <w:color w:val="000000"/>
                <w:kern w:val="0"/>
                <w:sz w:val="32"/>
                <w:szCs w:val="32"/>
              </w:rPr>
            </w:pPr>
            <w:r>
              <w:rPr>
                <w:rFonts w:ascii="仿宋_GB2312" w:eastAsia="仿宋_GB2312" w:cs="仿宋_GB2312" w:hint="eastAsia"/>
                <w:color w:val="000000"/>
                <w:kern w:val="0"/>
                <w:sz w:val="32"/>
                <w:szCs w:val="32"/>
              </w:rPr>
              <w:t>厦门发展航空航运金融的业务定位于依托国际空港、海港基础优势，在加强船舶制造、飞机维修等企业和货物运输、仓储等港口企业的金融保障服务基础上，逐步扩大飞机、船舶租赁业务份额，为未来开展更高层级的航运金融业务争取空间。到2025年，争取建成飞机租赁业务规模国内领先，航运保险、船舶融资、船舶资产交易等特色业务起步的航运金融先行区。</w:t>
            </w:r>
          </w:p>
        </w:tc>
      </w:tr>
    </w:tbl>
    <w:p w:rsidR="00BC3900" w:rsidRDefault="00BC3900" w:rsidP="00BC3900">
      <w:pPr>
        <w:widowControl/>
        <w:ind w:firstLineChars="200" w:firstLine="643"/>
        <w:rPr>
          <w:rFonts w:ascii="仿宋_GB2312" w:eastAsia="仿宋_GB2312" w:cs="仿宋_GB2312"/>
          <w:b/>
          <w:bCs/>
          <w:color w:val="000000"/>
          <w:kern w:val="0"/>
          <w:sz w:val="32"/>
          <w:szCs w:val="32"/>
        </w:rPr>
      </w:pPr>
    </w:p>
    <w:p w:rsidR="00BC3900" w:rsidRDefault="00BC3900" w:rsidP="00BC3900">
      <w:pPr>
        <w:widowControl/>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lastRenderedPageBreak/>
        <w:t>5.探索发展文化影视金融。</w:t>
      </w:r>
      <w:r>
        <w:rPr>
          <w:rFonts w:ascii="仿宋_GB2312" w:eastAsia="仿宋_GB2312" w:cs="仿宋_GB2312" w:hint="eastAsia"/>
          <w:color w:val="000000"/>
          <w:kern w:val="0"/>
          <w:sz w:val="32"/>
          <w:szCs w:val="32"/>
        </w:rPr>
        <w:t>鼓励社会资本在厦设立与我市文化影视产业配套的各类投资基金和金融服务机构，发挥资本招商作用，协助重大文化影视项目招商落地。支持影视融资模式创新，鼓励金融机构创新影视企业股权质押融资、影视版权抵押贷款融资、影视版权信托融资、夹层融资、影视资产证券化等业务，探索发展影视项目股权众筹、文化艺术品抵质押融资。支持保险机构研发推出影视产业相关保险产品。培育厦门地区影视企业上市后备企业，推动在境内外资本市场直接融资。</w:t>
      </w:r>
    </w:p>
    <w:p w:rsidR="00BC3900" w:rsidRDefault="00BC3900" w:rsidP="00BC3900">
      <w:pPr>
        <w:widowControl/>
        <w:ind w:firstLineChars="200" w:firstLine="640"/>
        <w:rPr>
          <w:rFonts w:ascii="仿宋_GB2312" w:eastAsia="仿宋_GB2312" w:cs="仿宋_GB2312"/>
          <w:color w:val="000000"/>
          <w:kern w:val="0"/>
          <w:sz w:val="32"/>
          <w:szCs w:val="32"/>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32"/>
      </w:tblGrid>
      <w:tr w:rsidR="00BC3900" w:rsidTr="006F7FD3">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专栏：文化影视项目融资主要模式</w:t>
            </w:r>
          </w:p>
        </w:tc>
      </w:tr>
      <w:tr w:rsidR="00BC3900" w:rsidTr="006F7FD3">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widowControl/>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贷款融资：</w:t>
            </w:r>
            <w:r>
              <w:rPr>
                <w:rFonts w:ascii="仿宋_GB2312" w:eastAsia="仿宋_GB2312" w:cs="仿宋_GB2312" w:hint="eastAsia"/>
                <w:color w:val="000000"/>
                <w:kern w:val="0"/>
                <w:sz w:val="32"/>
                <w:szCs w:val="32"/>
              </w:rPr>
              <w:t>以文化影视项目部分发行渠道预售版权合同、完片或存量影视作品、企业品牌等进行抵质押担保借款。</w:t>
            </w:r>
          </w:p>
          <w:p w:rsidR="00BC3900" w:rsidRDefault="00BC3900" w:rsidP="006F7FD3">
            <w:pPr>
              <w:widowControl/>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夹层融资：</w:t>
            </w:r>
            <w:r>
              <w:rPr>
                <w:rFonts w:ascii="仿宋_GB2312" w:eastAsia="仿宋_GB2312" w:cs="仿宋_GB2312" w:hint="eastAsia"/>
                <w:bCs/>
                <w:color w:val="000000"/>
                <w:kern w:val="0"/>
                <w:sz w:val="32"/>
                <w:szCs w:val="32"/>
              </w:rPr>
              <w:t>附带对文化影视项目股份优先认购权的无担保借款。</w:t>
            </w:r>
          </w:p>
          <w:p w:rsidR="00BC3900" w:rsidRDefault="00BC3900" w:rsidP="006F7FD3">
            <w:pPr>
              <w:widowControl/>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资产证券化：</w:t>
            </w:r>
            <w:r>
              <w:rPr>
                <w:rFonts w:ascii="仿宋_GB2312" w:eastAsia="仿宋_GB2312" w:cs="仿宋_GB2312" w:hint="eastAsia"/>
                <w:color w:val="000000"/>
                <w:kern w:val="0"/>
                <w:sz w:val="32"/>
                <w:szCs w:val="32"/>
              </w:rPr>
              <w:t>以文化影视项目作品票房（销售）收入作为基础资产，发行证券化产品融资。</w:t>
            </w:r>
          </w:p>
          <w:p w:rsidR="00BC3900" w:rsidRDefault="00BC3900" w:rsidP="006F7FD3">
            <w:pPr>
              <w:widowControl/>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股权融资：</w:t>
            </w:r>
            <w:r>
              <w:rPr>
                <w:rFonts w:ascii="仿宋_GB2312" w:eastAsia="仿宋_GB2312" w:cs="仿宋_GB2312" w:hint="eastAsia"/>
                <w:bCs/>
                <w:color w:val="000000"/>
                <w:kern w:val="0"/>
                <w:sz w:val="32"/>
                <w:szCs w:val="32"/>
              </w:rPr>
              <w:t>向特定投资</w:t>
            </w:r>
            <w:r>
              <w:rPr>
                <w:rFonts w:ascii="仿宋_GB2312" w:eastAsia="仿宋_GB2312" w:cs="仿宋_GB2312" w:hint="eastAsia"/>
                <w:color w:val="000000"/>
                <w:kern w:val="0"/>
                <w:sz w:val="32"/>
                <w:szCs w:val="32"/>
              </w:rPr>
              <w:t>机构出让</w:t>
            </w:r>
            <w:r>
              <w:rPr>
                <w:rFonts w:ascii="仿宋_GB2312" w:eastAsia="仿宋_GB2312" w:cs="仿宋_GB2312" w:hint="eastAsia"/>
                <w:bCs/>
                <w:color w:val="000000"/>
                <w:kern w:val="0"/>
                <w:sz w:val="32"/>
                <w:szCs w:val="32"/>
              </w:rPr>
              <w:t>文化影视项目</w:t>
            </w:r>
            <w:r>
              <w:rPr>
                <w:rFonts w:ascii="仿宋_GB2312" w:eastAsia="仿宋_GB2312" w:cs="仿宋_GB2312" w:hint="eastAsia"/>
                <w:color w:val="000000"/>
                <w:kern w:val="0"/>
                <w:sz w:val="32"/>
                <w:szCs w:val="32"/>
              </w:rPr>
              <w:t>部分</w:t>
            </w:r>
            <w:r>
              <w:rPr>
                <w:rFonts w:ascii="仿宋_GB2312" w:eastAsia="仿宋_GB2312" w:cs="仿宋_GB2312" w:hint="eastAsia"/>
                <w:bCs/>
                <w:color w:val="000000"/>
                <w:kern w:val="0"/>
                <w:sz w:val="32"/>
                <w:szCs w:val="32"/>
              </w:rPr>
              <w:t>股份</w:t>
            </w:r>
            <w:r>
              <w:rPr>
                <w:rFonts w:ascii="仿宋_GB2312" w:eastAsia="仿宋_GB2312" w:cs="仿宋_GB2312" w:hint="eastAsia"/>
                <w:color w:val="000000"/>
                <w:kern w:val="0"/>
                <w:sz w:val="32"/>
                <w:szCs w:val="32"/>
              </w:rPr>
              <w:t>进行</w:t>
            </w:r>
            <w:r>
              <w:rPr>
                <w:rFonts w:ascii="仿宋_GB2312" w:eastAsia="仿宋_GB2312" w:cs="仿宋_GB2312" w:hint="eastAsia"/>
                <w:bCs/>
                <w:color w:val="000000"/>
                <w:kern w:val="0"/>
                <w:sz w:val="32"/>
                <w:szCs w:val="32"/>
              </w:rPr>
              <w:t>融资。</w:t>
            </w:r>
          </w:p>
          <w:p w:rsidR="00BC3900" w:rsidRDefault="00BC3900" w:rsidP="006F7FD3">
            <w:pPr>
              <w:widowControl/>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股权众筹：</w:t>
            </w:r>
            <w:r>
              <w:rPr>
                <w:rFonts w:ascii="仿宋_GB2312" w:eastAsia="仿宋_GB2312" w:cs="仿宋_GB2312" w:hint="eastAsia"/>
                <w:bCs/>
                <w:color w:val="000000"/>
                <w:kern w:val="0"/>
                <w:sz w:val="32"/>
                <w:szCs w:val="32"/>
              </w:rPr>
              <w:t>向公众或合格投资者转让</w:t>
            </w:r>
            <w:r>
              <w:rPr>
                <w:rFonts w:ascii="仿宋_GB2312" w:eastAsia="仿宋_GB2312" w:cs="仿宋_GB2312" w:hint="eastAsia"/>
                <w:color w:val="000000"/>
                <w:kern w:val="0"/>
                <w:sz w:val="32"/>
                <w:szCs w:val="32"/>
              </w:rPr>
              <w:t>文化影视作品部分股份进行融资。</w:t>
            </w:r>
          </w:p>
          <w:p w:rsidR="00BC3900" w:rsidRDefault="00BC3900" w:rsidP="006F7FD3">
            <w:pPr>
              <w:widowControl/>
              <w:ind w:firstLineChars="200" w:firstLine="643"/>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上市融资：</w:t>
            </w:r>
            <w:r>
              <w:rPr>
                <w:rFonts w:ascii="仿宋_GB2312" w:eastAsia="仿宋_GB2312" w:cs="仿宋_GB2312" w:hint="eastAsia"/>
                <w:bCs/>
                <w:color w:val="000000"/>
                <w:kern w:val="0"/>
                <w:sz w:val="32"/>
                <w:szCs w:val="32"/>
              </w:rPr>
              <w:t>中大型文化影视企业</w:t>
            </w:r>
            <w:r>
              <w:rPr>
                <w:rFonts w:ascii="仿宋_GB2312" w:eastAsia="仿宋_GB2312" w:cs="仿宋_GB2312" w:hint="eastAsia"/>
                <w:color w:val="000000"/>
                <w:kern w:val="0"/>
                <w:sz w:val="32"/>
                <w:szCs w:val="32"/>
              </w:rPr>
              <w:t>在</w:t>
            </w:r>
            <w:r>
              <w:rPr>
                <w:rFonts w:ascii="仿宋_GB2312" w:eastAsia="仿宋_GB2312" w:cs="仿宋_GB2312" w:hint="eastAsia"/>
                <w:bCs/>
                <w:color w:val="000000"/>
                <w:kern w:val="0"/>
                <w:sz w:val="32"/>
                <w:szCs w:val="32"/>
              </w:rPr>
              <w:t>资本市场上市融资。</w:t>
            </w:r>
          </w:p>
        </w:tc>
      </w:tr>
    </w:tbl>
    <w:p w:rsidR="00BC3900" w:rsidRDefault="00BC3900" w:rsidP="00BC3900">
      <w:pPr>
        <w:widowControl/>
        <w:ind w:firstLineChars="200" w:firstLine="640"/>
        <w:rPr>
          <w:rFonts w:ascii="楷体" w:eastAsia="楷体" w:cs="楷体"/>
          <w:color w:val="000000"/>
          <w:kern w:val="0"/>
          <w:sz w:val="32"/>
          <w:szCs w:val="32"/>
        </w:rPr>
      </w:pPr>
    </w:p>
    <w:p w:rsidR="00BC3900" w:rsidRDefault="00BC3900" w:rsidP="00BC3900">
      <w:pPr>
        <w:spacing w:line="620" w:lineRule="exact"/>
        <w:ind w:firstLineChars="200" w:firstLine="640"/>
        <w:rPr>
          <w:rFonts w:ascii="楷体_GB2312" w:eastAsia="楷体_GB2312" w:cs="楷体"/>
          <w:color w:val="000000"/>
          <w:kern w:val="0"/>
          <w:sz w:val="32"/>
          <w:szCs w:val="32"/>
        </w:rPr>
      </w:pPr>
      <w:r>
        <w:rPr>
          <w:rFonts w:ascii="楷体_GB2312" w:eastAsia="楷体_GB2312" w:cs="楷体" w:hint="eastAsia"/>
          <w:color w:val="000000"/>
          <w:kern w:val="0"/>
          <w:sz w:val="32"/>
          <w:szCs w:val="32"/>
        </w:rPr>
        <w:t>（四）履行促进两岸融合使命，对台金融合作先行先试</w:t>
      </w:r>
    </w:p>
    <w:p w:rsidR="00BC3900" w:rsidRDefault="00BC3900" w:rsidP="00BC3900">
      <w:pPr>
        <w:spacing w:line="620" w:lineRule="exact"/>
        <w:ind w:firstLineChars="200" w:firstLine="643"/>
        <w:rPr>
          <w:rFonts w:ascii="仿宋_GB2312" w:eastAsia="仿宋_GB2312" w:cs="仿宋_GB2312"/>
          <w:bCs/>
          <w:kern w:val="0"/>
          <w:sz w:val="32"/>
          <w:szCs w:val="32"/>
        </w:rPr>
      </w:pPr>
      <w:r>
        <w:rPr>
          <w:rFonts w:ascii="仿宋_GB2312" w:eastAsia="仿宋_GB2312" w:cs="仿宋_GB2312" w:hint="eastAsia"/>
          <w:b/>
          <w:bCs/>
          <w:kern w:val="0"/>
          <w:sz w:val="32"/>
          <w:szCs w:val="32"/>
        </w:rPr>
        <w:t>1.对台业务合作先行先试。</w:t>
      </w:r>
      <w:r>
        <w:rPr>
          <w:rFonts w:ascii="仿宋_GB2312" w:eastAsia="仿宋_GB2312" w:cs="仿宋_GB2312" w:hint="eastAsia"/>
          <w:bCs/>
          <w:kern w:val="0"/>
          <w:sz w:val="32"/>
          <w:szCs w:val="32"/>
        </w:rPr>
        <w:t>以深化两岸区域性金融中心建设为契机，争取中央对厦门率先开展对台金融合作的政策倾斜和部分金融审批事权下放，创新涉台金融事务监管体制机制，探索实施台籍金融从业人员赴厦就业便利化、台资机构准入享受同等待遇或试行负面清单管理、开展人民币与新台币等小币种货币自由兑换等促进两岸金融业融合发展的重大事项。</w:t>
      </w:r>
    </w:p>
    <w:p w:rsidR="00BC3900" w:rsidRDefault="00BC3900" w:rsidP="00BC3900">
      <w:pPr>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2.促进两岸金融市场融通。</w:t>
      </w:r>
      <w:r>
        <w:rPr>
          <w:rFonts w:ascii="仿宋_GB2312" w:eastAsia="仿宋_GB2312" w:cs="仿宋_GB2312" w:hint="eastAsia"/>
          <w:color w:val="000000"/>
          <w:kern w:val="0"/>
          <w:sz w:val="32"/>
          <w:szCs w:val="32"/>
        </w:rPr>
        <w:t>做大跨境人民币贷款、跨境双向发债、跨境双向资金池等业务规模，扩大厦门人民币结算代理清算覆盖面，以此为基础争取更高层次的综合业务合作，推动开展台资合格境外机构投资者（QFII）资金托管、人民币债券发行、金融资产跨境转让等业务。推动知名台资企业联合在厦组建股权投资基金，与厦门两岸股权交易中心“台资板”开展联动，推动台湾中小企业在“台资板”挂牌展示，研究台籍合格投资者准入交易等制度创新。推动两岸保险业在资金运用、离岸保险、防灾理赔、产品研发、从业人员资格互认等领域资源共享和业务合作。</w:t>
      </w:r>
    </w:p>
    <w:p w:rsidR="00BC3900" w:rsidRDefault="00BC3900" w:rsidP="00BC3900">
      <w:pPr>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3.加强两岸金融产品创新。</w:t>
      </w:r>
      <w:r>
        <w:rPr>
          <w:rFonts w:ascii="仿宋_GB2312" w:eastAsia="仿宋_GB2312" w:cs="宋体" w:hint="eastAsia"/>
          <w:kern w:val="0"/>
          <w:sz w:val="32"/>
          <w:szCs w:val="32"/>
        </w:rPr>
        <w:t>推进厦台港澳金融机构双向互设，</w:t>
      </w:r>
      <w:r>
        <w:rPr>
          <w:rFonts w:ascii="仿宋_GB2312" w:eastAsia="仿宋_GB2312" w:cs="仿宋_GB2312" w:hint="eastAsia"/>
          <w:color w:val="000000"/>
          <w:kern w:val="0"/>
          <w:sz w:val="32"/>
          <w:szCs w:val="32"/>
        </w:rPr>
        <w:t>推动设立服务台胞台企特色银行、全牌照证券公司、金融资产管理公司、基金管理公司、专业保险公司、征信评</w:t>
      </w:r>
      <w:r>
        <w:rPr>
          <w:rFonts w:ascii="仿宋_GB2312" w:eastAsia="仿宋_GB2312" w:cs="仿宋_GB2312" w:hint="eastAsia"/>
          <w:color w:val="000000"/>
          <w:kern w:val="0"/>
          <w:sz w:val="32"/>
          <w:szCs w:val="32"/>
        </w:rPr>
        <w:lastRenderedPageBreak/>
        <w:t>级机构等具有两岸元素的金融机构主体，</w:t>
      </w:r>
      <w:r>
        <w:rPr>
          <w:rFonts w:ascii="仿宋_GB2312" w:eastAsia="仿宋_GB2312" w:cs="宋体" w:hint="eastAsia"/>
          <w:kern w:val="0"/>
          <w:sz w:val="32"/>
          <w:szCs w:val="32"/>
        </w:rPr>
        <w:t>探索支持厦门地方法人银行到台港澳地区、大陆台商密集区域开设网点、延伸服务，</w:t>
      </w:r>
      <w:r>
        <w:rPr>
          <w:rFonts w:ascii="仿宋_GB2312" w:eastAsia="仿宋_GB2312" w:cs="仿宋_GB2312" w:hint="eastAsia"/>
          <w:color w:val="000000"/>
          <w:kern w:val="0"/>
          <w:sz w:val="32"/>
          <w:szCs w:val="32"/>
        </w:rPr>
        <w:t>研发推出契合两岸企业发展需求的金融产品，为台资企业在大陆发展提供金融支持，积极促进两岸经济和金融合作发展。积极出台有利于台胞在大陆就学就业生活的金融政策，进一步便利台胞在大陆学习和工作。鼓励两岸金融科技行业在技术标准对接、产业研发、成果运用等方面开展合作。积极推动两岸信用信息交换共享，建立征信产品互认机制。稳妥推进两岸民间金融交流与合作。</w:t>
      </w:r>
    </w:p>
    <w:p w:rsidR="00BC3900" w:rsidRDefault="00BC3900" w:rsidP="00BC3900">
      <w:pPr>
        <w:spacing w:line="620" w:lineRule="exact"/>
        <w:ind w:firstLineChars="200" w:firstLine="640"/>
        <w:rPr>
          <w:rFonts w:ascii="楷体_GB2312" w:eastAsia="楷体_GB2312" w:cs="仿宋_GB2312"/>
          <w:b/>
          <w:bCs/>
          <w:color w:val="000000"/>
          <w:kern w:val="0"/>
          <w:sz w:val="32"/>
          <w:szCs w:val="32"/>
        </w:rPr>
      </w:pPr>
      <w:r>
        <w:rPr>
          <w:rFonts w:ascii="楷体_GB2312" w:eastAsia="楷体_GB2312" w:cs="楷体" w:hint="eastAsia"/>
          <w:color w:val="000000"/>
          <w:kern w:val="0"/>
          <w:sz w:val="32"/>
          <w:szCs w:val="32"/>
        </w:rPr>
        <w:t>（五）注重技术驱动升级，加快金融科技产业布局</w:t>
      </w:r>
    </w:p>
    <w:p w:rsidR="00BC3900" w:rsidRDefault="00BC3900" w:rsidP="00BC3900">
      <w:pPr>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1.加强金融科技企业培育。</w:t>
      </w:r>
      <w:r>
        <w:rPr>
          <w:rFonts w:ascii="仿宋_GB2312" w:eastAsia="仿宋_GB2312" w:cs="仿宋_GB2312" w:hint="eastAsia"/>
          <w:bCs/>
          <w:color w:val="000000"/>
          <w:kern w:val="0"/>
          <w:sz w:val="32"/>
          <w:szCs w:val="32"/>
        </w:rPr>
        <w:t>规划建设金融科技产业集聚区</w:t>
      </w:r>
      <w:r>
        <w:rPr>
          <w:rFonts w:ascii="仿宋_GB2312" w:eastAsia="仿宋_GB2312" w:cs="仿宋_GB2312" w:hint="eastAsia"/>
          <w:color w:val="000000"/>
          <w:kern w:val="0"/>
          <w:sz w:val="32"/>
          <w:szCs w:val="32"/>
        </w:rPr>
        <w:t>。着力引进</w:t>
      </w:r>
      <w:r>
        <w:rPr>
          <w:rFonts w:ascii="仿宋_GB2312" w:eastAsia="仿宋_GB2312" w:cs="黑体" w:hint="eastAsia"/>
          <w:color w:val="000000"/>
          <w:kern w:val="0"/>
          <w:sz w:val="32"/>
          <w:szCs w:val="32"/>
        </w:rPr>
        <w:t>银行、证券、保险等持牌金融机构</w:t>
      </w:r>
      <w:r>
        <w:rPr>
          <w:rFonts w:ascii="仿宋_GB2312" w:eastAsia="仿宋_GB2312" w:cs="仿宋_GB2312" w:hint="eastAsia"/>
          <w:color w:val="000000"/>
          <w:kern w:val="0"/>
          <w:sz w:val="32"/>
          <w:szCs w:val="32"/>
        </w:rPr>
        <w:t>和互联网新经济企业在厦门设立金融科技子公司、研发中心、事业部、金融科技实验室和研发机构，</w:t>
      </w:r>
      <w:r>
        <w:rPr>
          <w:rFonts w:ascii="仿宋_GB2312" w:eastAsia="仿宋_GB2312" w:cs="黑体" w:hint="eastAsia"/>
          <w:color w:val="000000"/>
          <w:kern w:val="0"/>
          <w:sz w:val="32"/>
          <w:szCs w:val="32"/>
        </w:rPr>
        <w:t>引进金融科技研发团队，增强金融科技创新能力。</w:t>
      </w:r>
      <w:r>
        <w:rPr>
          <w:rFonts w:ascii="仿宋_GB2312" w:eastAsia="仿宋_GB2312" w:cs="仿宋_GB2312" w:hint="eastAsia"/>
          <w:color w:val="000000"/>
          <w:kern w:val="0"/>
          <w:sz w:val="32"/>
          <w:szCs w:val="32"/>
        </w:rPr>
        <w:t>设立金融科技众创空间、孵化器、加速器，加大政策奖补力度，培育一批金融科技领域新锐企业，抢占金融科技发展先机。设立金融科技产业基金，发挥资本要素驱动作用，加速金融科技企业成长壮大。</w:t>
      </w:r>
    </w:p>
    <w:p w:rsidR="00BC3900" w:rsidRDefault="00BC3900" w:rsidP="00BC3900">
      <w:pPr>
        <w:spacing w:line="620" w:lineRule="exact"/>
        <w:ind w:firstLine="640"/>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2.完善基础支撑体系。</w:t>
      </w:r>
      <w:r>
        <w:rPr>
          <w:rFonts w:ascii="仿宋_GB2312" w:eastAsia="仿宋_GB2312" w:cs="仿宋_GB2312" w:hint="eastAsia"/>
          <w:color w:val="000000"/>
          <w:kern w:val="0"/>
          <w:sz w:val="32"/>
          <w:szCs w:val="32"/>
        </w:rPr>
        <w:t>支持以第五代移动通信（</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仿宋_GB2312" w:eastAsia="仿宋_GB2312" w:cs="仿宋_GB2312" w:hint="eastAsia"/>
            <w:color w:val="000000"/>
            <w:kern w:val="0"/>
            <w:sz w:val="32"/>
            <w:szCs w:val="32"/>
          </w:rPr>
          <w:t>5G</w:t>
        </w:r>
      </w:smartTag>
      <w:r>
        <w:rPr>
          <w:rFonts w:ascii="仿宋_GB2312" w:eastAsia="仿宋_GB2312" w:cs="仿宋_GB2312" w:hint="eastAsia"/>
          <w:color w:val="000000"/>
          <w:kern w:val="0"/>
          <w:sz w:val="32"/>
          <w:szCs w:val="32"/>
        </w:rPr>
        <w:t>）、物联网、云计算平台等代表的基础设施建设。组建金融科技研究机构，</w:t>
      </w:r>
      <w:r>
        <w:rPr>
          <w:rFonts w:ascii="仿宋_GB2312" w:eastAsia="仿宋_GB2312" w:cs="仿宋_GB2312" w:hint="eastAsia"/>
          <w:bCs/>
          <w:kern w:val="0"/>
          <w:sz w:val="32"/>
          <w:szCs w:val="32"/>
        </w:rPr>
        <w:t>鼓励名企、名校、强院合作，</w:t>
      </w:r>
      <w:r>
        <w:rPr>
          <w:rFonts w:ascii="仿宋_GB2312" w:eastAsia="仿宋_GB2312" w:cs="仿宋_GB2312" w:hint="eastAsia"/>
          <w:color w:val="000000"/>
          <w:kern w:val="0"/>
          <w:sz w:val="32"/>
          <w:szCs w:val="32"/>
        </w:rPr>
        <w:t>强化区块链、大数据、人工智能等金融科技底层关键技术、前沿技术领域的理</w:t>
      </w:r>
      <w:r>
        <w:rPr>
          <w:rFonts w:ascii="仿宋_GB2312" w:eastAsia="仿宋_GB2312" w:cs="仿宋_GB2312" w:hint="eastAsia"/>
          <w:color w:val="000000"/>
          <w:kern w:val="0"/>
          <w:sz w:val="32"/>
          <w:szCs w:val="32"/>
        </w:rPr>
        <w:lastRenderedPageBreak/>
        <w:t>论研究和技术攻关。研究构建金融科技统计和风险监测体系，加快地方金融机构非现场监管系统、金融风险预警平台建设，探索“监管沙盒”等创新监管工具。推动信用大数据体系建设。构建金融科技企业认证评级体系，推进金融科技标准化、专业化进程。</w:t>
      </w:r>
    </w:p>
    <w:p w:rsidR="00BC3900" w:rsidRDefault="00BC3900" w:rsidP="00BC3900">
      <w:pPr>
        <w:spacing w:line="620" w:lineRule="exact"/>
        <w:ind w:firstLine="640"/>
        <w:rPr>
          <w:rFonts w:ascii="仿宋_GB2312" w:eastAsia="仿宋_GB2312" w:cs="仿宋_GB2312"/>
          <w:kern w:val="0"/>
          <w:sz w:val="32"/>
          <w:szCs w:val="32"/>
        </w:rPr>
      </w:pPr>
      <w:r>
        <w:rPr>
          <w:rFonts w:ascii="仿宋_GB2312" w:eastAsia="仿宋_GB2312" w:cs="仿宋_GB2312" w:hint="eastAsia"/>
          <w:b/>
          <w:bCs/>
          <w:kern w:val="0"/>
          <w:sz w:val="32"/>
          <w:szCs w:val="32"/>
        </w:rPr>
        <w:t>3.推动成果转化应用。</w:t>
      </w:r>
      <w:r>
        <w:rPr>
          <w:rFonts w:ascii="仿宋_GB2312" w:eastAsia="仿宋_GB2312" w:cs="仿宋_GB2312" w:hint="eastAsia"/>
          <w:kern w:val="0"/>
          <w:sz w:val="32"/>
          <w:szCs w:val="32"/>
        </w:rPr>
        <w:t>推动金融机构利用金融科技重塑业务模式，积极实现流程再造、服务模式优化，提升金融服务效率、风险管理水平和市场竞争能力。集中力量支持大数据、人工智能、分布式技术（云计算、区块链）、信息安全技术（加密技术、生物识别、量子技术）的研发与应用，构建名企、名校、强院合作共建“产学研用”结合新机制和新生态。</w:t>
      </w:r>
      <w:r>
        <w:rPr>
          <w:rFonts w:ascii="仿宋_GB2312" w:eastAsia="仿宋_GB2312" w:cs="黑体" w:hint="eastAsia"/>
          <w:kern w:val="0"/>
          <w:sz w:val="32"/>
          <w:szCs w:val="32"/>
        </w:rPr>
        <w:t>扩大金融科技在</w:t>
      </w:r>
      <w:r>
        <w:rPr>
          <w:rFonts w:ascii="仿宋_GB2312" w:eastAsia="仿宋_GB2312" w:cs="仿宋_GB2312" w:hint="eastAsia"/>
          <w:kern w:val="0"/>
          <w:sz w:val="32"/>
          <w:szCs w:val="32"/>
        </w:rPr>
        <w:t>医疗卫生、公共交通等社会民生和城市治理领域</w:t>
      </w:r>
      <w:r>
        <w:rPr>
          <w:rFonts w:ascii="仿宋_GB2312" w:eastAsia="仿宋_GB2312" w:cs="黑体" w:hint="eastAsia"/>
          <w:kern w:val="0"/>
          <w:sz w:val="32"/>
          <w:szCs w:val="32"/>
        </w:rPr>
        <w:t>的应用，推行“无感支付”等服务，不断拓展金融科技应用场景和</w:t>
      </w:r>
      <w:r>
        <w:rPr>
          <w:rFonts w:ascii="仿宋_GB2312" w:eastAsia="仿宋_GB2312" w:cs="仿宋_GB2312" w:hint="eastAsia"/>
          <w:kern w:val="0"/>
          <w:sz w:val="32"/>
          <w:szCs w:val="32"/>
        </w:rPr>
        <w:t>应用范围。积极争取参与国家数字货币研发与投放试点工作。</w:t>
      </w:r>
    </w:p>
    <w:p w:rsidR="00BC3900" w:rsidRDefault="00BC3900" w:rsidP="00BC3900">
      <w:pPr>
        <w:spacing w:line="580" w:lineRule="exact"/>
        <w:rPr>
          <w:rFonts w:ascii="仿宋_GB2312" w:eastAsia="仿宋_GB2312" w:cs="仿宋_GB2312"/>
          <w:b/>
          <w:bCs/>
          <w:kern w:val="0"/>
          <w:sz w:val="32"/>
          <w:szCs w:val="32"/>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22"/>
      </w:tblGrid>
      <w:tr w:rsidR="00BC3900" w:rsidTr="006F7FD3">
        <w:tc>
          <w:tcPr>
            <w:tcW w:w="8522" w:type="dxa"/>
            <w:tcBorders>
              <w:top w:val="single" w:sz="4" w:space="0" w:color="auto"/>
              <w:left w:val="single" w:sz="4" w:space="0" w:color="auto"/>
              <w:bottom w:val="single" w:sz="4" w:space="0" w:color="auto"/>
              <w:right w:val="single" w:sz="4" w:space="0" w:color="auto"/>
            </w:tcBorders>
          </w:tcPr>
          <w:p w:rsidR="00BC3900" w:rsidRDefault="00BC3900" w:rsidP="006F7FD3">
            <w:pPr>
              <w:spacing w:line="580" w:lineRule="exact"/>
              <w:jc w:val="center"/>
              <w:rPr>
                <w:rFonts w:ascii="仿宋_GB2312" w:eastAsia="仿宋_GB2312" w:cs="仿宋_GB2312"/>
                <w:b/>
                <w:bCs/>
                <w:kern w:val="0"/>
                <w:sz w:val="32"/>
                <w:szCs w:val="32"/>
              </w:rPr>
            </w:pPr>
            <w:r>
              <w:rPr>
                <w:rFonts w:ascii="仿宋_GB2312" w:eastAsia="仿宋_GB2312" w:cs="仿宋_GB2312" w:hint="eastAsia"/>
                <w:b/>
                <w:bCs/>
                <w:kern w:val="0"/>
                <w:sz w:val="32"/>
                <w:szCs w:val="32"/>
              </w:rPr>
              <w:t>专栏：金融科技产业集聚区建设重点</w:t>
            </w:r>
          </w:p>
        </w:tc>
      </w:tr>
      <w:tr w:rsidR="00BC3900" w:rsidTr="006F7FD3">
        <w:tc>
          <w:tcPr>
            <w:tcW w:w="8522" w:type="dxa"/>
            <w:tcBorders>
              <w:top w:val="single" w:sz="4" w:space="0" w:color="auto"/>
              <w:left w:val="single" w:sz="4" w:space="0" w:color="auto"/>
              <w:bottom w:val="single" w:sz="4" w:space="0" w:color="auto"/>
              <w:right w:val="single" w:sz="4" w:space="0" w:color="auto"/>
            </w:tcBorders>
          </w:tcPr>
          <w:p w:rsidR="00BC3900" w:rsidRDefault="00BC3900" w:rsidP="006F7FD3">
            <w:pPr>
              <w:spacing w:line="580" w:lineRule="exact"/>
              <w:ind w:firstLineChars="200" w:firstLine="640"/>
              <w:rPr>
                <w:rFonts w:ascii="仿宋_GB2312" w:eastAsia="仿宋_GB2312" w:cs="仿宋_GB2312"/>
                <w:bCs/>
                <w:kern w:val="0"/>
                <w:sz w:val="32"/>
                <w:szCs w:val="32"/>
              </w:rPr>
            </w:pPr>
            <w:r>
              <w:rPr>
                <w:rFonts w:ascii="仿宋_GB2312" w:eastAsia="仿宋_GB2312" w:cs="仿宋_GB2312" w:hint="eastAsia"/>
                <w:kern w:val="0"/>
                <w:sz w:val="32"/>
                <w:szCs w:val="32"/>
              </w:rPr>
              <w:t>规划建设金融科技产业集聚区，成立专业化园区</w:t>
            </w:r>
            <w:r>
              <w:rPr>
                <w:rFonts w:ascii="仿宋_GB2312" w:eastAsia="仿宋_GB2312" w:cs="仿宋_GB2312" w:hint="eastAsia"/>
                <w:bCs/>
                <w:kern w:val="0"/>
                <w:sz w:val="32"/>
                <w:szCs w:val="32"/>
              </w:rPr>
              <w:t>运营主体，按照政府引导、市场化运作的方式，统筹</w:t>
            </w:r>
            <w:r>
              <w:rPr>
                <w:rFonts w:ascii="仿宋_GB2312" w:eastAsia="仿宋_GB2312" w:cs="仿宋_GB2312" w:hint="eastAsia"/>
                <w:kern w:val="0"/>
                <w:sz w:val="32"/>
                <w:szCs w:val="32"/>
              </w:rPr>
              <w:t>推进</w:t>
            </w:r>
            <w:r>
              <w:rPr>
                <w:rFonts w:ascii="仿宋_GB2312" w:eastAsia="仿宋_GB2312" w:cs="仿宋_GB2312" w:hint="eastAsia"/>
                <w:bCs/>
                <w:kern w:val="0"/>
                <w:sz w:val="32"/>
                <w:szCs w:val="32"/>
              </w:rPr>
              <w:t>项目引进培育工作。到2025年，在集聚区内基本建成以下平台：</w:t>
            </w:r>
          </w:p>
          <w:p w:rsidR="00BC3900" w:rsidRDefault="00BC3900" w:rsidP="006F7FD3">
            <w:pPr>
              <w:spacing w:line="580" w:lineRule="exact"/>
              <w:ind w:firstLineChars="200" w:firstLine="643"/>
              <w:rPr>
                <w:rFonts w:ascii="仿宋_GB2312" w:eastAsia="仿宋_GB2312" w:cs="仿宋_GB2312"/>
                <w:kern w:val="0"/>
                <w:sz w:val="32"/>
                <w:szCs w:val="32"/>
              </w:rPr>
            </w:pPr>
            <w:r>
              <w:rPr>
                <w:rFonts w:ascii="仿宋_GB2312" w:eastAsia="仿宋_GB2312" w:cs="仿宋_GB2312" w:hint="eastAsia"/>
                <w:b/>
                <w:bCs/>
                <w:kern w:val="0"/>
                <w:sz w:val="32"/>
                <w:szCs w:val="32"/>
              </w:rPr>
              <w:t>金融科技研究平台：</w:t>
            </w:r>
            <w:r>
              <w:rPr>
                <w:rFonts w:ascii="仿宋_GB2312" w:eastAsia="仿宋_GB2312" w:cs="仿宋_GB2312" w:hint="eastAsia"/>
                <w:bCs/>
                <w:kern w:val="0"/>
                <w:sz w:val="32"/>
                <w:szCs w:val="32"/>
              </w:rPr>
              <w:t>引进</w:t>
            </w:r>
            <w:r>
              <w:rPr>
                <w:rFonts w:ascii="仿宋_GB2312" w:eastAsia="仿宋_GB2312" w:cs="仿宋_GB2312" w:hint="eastAsia"/>
                <w:kern w:val="0"/>
                <w:sz w:val="32"/>
                <w:szCs w:val="32"/>
              </w:rPr>
              <w:t>国内权威研究机构、行业组织和高校等多方力量共同发起成立金融科技研究机构，举办金</w:t>
            </w:r>
            <w:r>
              <w:rPr>
                <w:rFonts w:ascii="仿宋_GB2312" w:eastAsia="仿宋_GB2312" w:cs="仿宋_GB2312" w:hint="eastAsia"/>
                <w:kern w:val="0"/>
                <w:sz w:val="32"/>
                <w:szCs w:val="32"/>
              </w:rPr>
              <w:lastRenderedPageBreak/>
              <w:t>融科技大型论坛活动及各类大中小型（开放式、闭门的）学术研讨会议，承担金融科技产业规划研究、集聚区入驻企业认定、金融人才培训等外包服务。组织开展境内外金融科技交流活动，提升厦门金融科技行业影响力。</w:t>
            </w:r>
          </w:p>
          <w:p w:rsidR="00BC3900" w:rsidRDefault="00BC3900" w:rsidP="006F7FD3">
            <w:pPr>
              <w:spacing w:line="580" w:lineRule="exact"/>
              <w:ind w:firstLineChars="200" w:firstLine="643"/>
              <w:rPr>
                <w:rFonts w:ascii="仿宋_GB2312" w:eastAsia="仿宋_GB2312" w:cs="仿宋_GB2312"/>
                <w:bCs/>
                <w:kern w:val="0"/>
                <w:sz w:val="32"/>
                <w:szCs w:val="32"/>
              </w:rPr>
            </w:pPr>
            <w:r>
              <w:rPr>
                <w:rFonts w:ascii="仿宋_GB2312" w:eastAsia="仿宋_GB2312" w:cs="仿宋_GB2312" w:hint="eastAsia"/>
                <w:b/>
                <w:bCs/>
                <w:kern w:val="0"/>
                <w:sz w:val="32"/>
                <w:szCs w:val="32"/>
              </w:rPr>
              <w:t>金融科技孵化加速平台：</w:t>
            </w:r>
            <w:r>
              <w:rPr>
                <w:rFonts w:ascii="仿宋_GB2312" w:eastAsia="仿宋_GB2312" w:cs="仿宋_GB2312" w:hint="eastAsia"/>
                <w:bCs/>
                <w:kern w:val="0"/>
                <w:sz w:val="32"/>
                <w:szCs w:val="32"/>
              </w:rPr>
              <w:t>设立金融科技项目孵化空间，科学制定入驻标准，</w:t>
            </w:r>
            <w:r>
              <w:rPr>
                <w:rFonts w:ascii="仿宋_GB2312" w:eastAsia="仿宋_GB2312" w:cs="仿宋_GB2312" w:hint="eastAsia"/>
                <w:kern w:val="0"/>
                <w:sz w:val="32"/>
                <w:szCs w:val="32"/>
              </w:rPr>
              <w:t>重点</w:t>
            </w:r>
            <w:r>
              <w:rPr>
                <w:rFonts w:ascii="仿宋_GB2312" w:eastAsia="仿宋_GB2312" w:cs="仿宋_GB2312" w:hint="eastAsia"/>
                <w:bCs/>
                <w:kern w:val="0"/>
                <w:sz w:val="32"/>
                <w:szCs w:val="32"/>
              </w:rPr>
              <w:t>初创型金融科技企业和</w:t>
            </w:r>
            <w:r>
              <w:rPr>
                <w:rFonts w:ascii="仿宋_GB2312" w:eastAsia="仿宋_GB2312" w:cs="仿宋_GB2312" w:hint="eastAsia"/>
                <w:kern w:val="0"/>
                <w:sz w:val="32"/>
                <w:szCs w:val="32"/>
              </w:rPr>
              <w:t>新锐</w:t>
            </w:r>
            <w:r>
              <w:rPr>
                <w:rFonts w:ascii="仿宋_GB2312" w:eastAsia="仿宋_GB2312" w:cs="仿宋_GB2312" w:hint="eastAsia"/>
                <w:bCs/>
                <w:kern w:val="0"/>
                <w:sz w:val="32"/>
                <w:szCs w:val="32"/>
              </w:rPr>
              <w:t>企业项目入驻。设立</w:t>
            </w:r>
            <w:r>
              <w:rPr>
                <w:rFonts w:ascii="仿宋_GB2312" w:eastAsia="仿宋_GB2312" w:cs="仿宋_GB2312" w:hint="eastAsia"/>
                <w:kern w:val="0"/>
                <w:sz w:val="32"/>
                <w:szCs w:val="32"/>
              </w:rPr>
              <w:t>金融产业投资基金，专项投资优质</w:t>
            </w:r>
            <w:r>
              <w:rPr>
                <w:rFonts w:ascii="仿宋_GB2312" w:eastAsia="仿宋_GB2312" w:cs="仿宋_GB2312" w:hint="eastAsia"/>
                <w:bCs/>
                <w:kern w:val="0"/>
                <w:sz w:val="32"/>
                <w:szCs w:val="32"/>
              </w:rPr>
              <w:t>金融科技项目，丰富企业股权融资、并购以及与资本市场对接渠道。</w:t>
            </w:r>
          </w:p>
          <w:p w:rsidR="00BC3900" w:rsidRDefault="00BC3900" w:rsidP="006F7FD3">
            <w:pPr>
              <w:spacing w:line="580" w:lineRule="exact"/>
              <w:ind w:firstLineChars="200" w:firstLine="643"/>
              <w:rPr>
                <w:rFonts w:ascii="仿宋_GB2312" w:eastAsia="仿宋_GB2312" w:cs="仿宋_GB2312"/>
                <w:kern w:val="0"/>
                <w:sz w:val="32"/>
                <w:szCs w:val="32"/>
              </w:rPr>
            </w:pPr>
            <w:r>
              <w:rPr>
                <w:rFonts w:ascii="仿宋_GB2312" w:eastAsia="仿宋_GB2312" w:cs="仿宋_GB2312" w:hint="eastAsia"/>
                <w:b/>
                <w:bCs/>
                <w:kern w:val="0"/>
                <w:sz w:val="32"/>
                <w:szCs w:val="32"/>
              </w:rPr>
              <w:t>金融科技成果转化平台：</w:t>
            </w:r>
            <w:r>
              <w:rPr>
                <w:rFonts w:ascii="仿宋_GB2312" w:eastAsia="仿宋_GB2312" w:cs="仿宋_GB2312" w:hint="eastAsia"/>
                <w:bCs/>
                <w:kern w:val="0"/>
                <w:sz w:val="32"/>
                <w:szCs w:val="32"/>
              </w:rPr>
              <w:t>搭建线上、线下金融机构与金融科技企业对接平台，鼓励银行、证券期货、保险等</w:t>
            </w:r>
            <w:r>
              <w:rPr>
                <w:rFonts w:ascii="仿宋_GB2312" w:eastAsia="仿宋_GB2312" w:cs="仿宋_GB2312" w:hint="eastAsia"/>
                <w:kern w:val="0"/>
                <w:sz w:val="32"/>
                <w:szCs w:val="32"/>
              </w:rPr>
              <w:t>持牌</w:t>
            </w:r>
            <w:r>
              <w:rPr>
                <w:rFonts w:ascii="仿宋_GB2312" w:eastAsia="仿宋_GB2312" w:cs="仿宋_GB2312" w:hint="eastAsia"/>
                <w:bCs/>
                <w:kern w:val="0"/>
                <w:sz w:val="32"/>
                <w:szCs w:val="32"/>
              </w:rPr>
              <w:t>金融机构</w:t>
            </w:r>
            <w:r>
              <w:rPr>
                <w:rFonts w:ascii="仿宋_GB2312" w:eastAsia="仿宋_GB2312" w:cs="仿宋_GB2312" w:hint="eastAsia"/>
                <w:kern w:val="0"/>
                <w:sz w:val="32"/>
                <w:szCs w:val="32"/>
              </w:rPr>
              <w:t>、知名互联网新经济企业</w:t>
            </w:r>
            <w:r>
              <w:rPr>
                <w:rFonts w:ascii="仿宋_GB2312" w:eastAsia="仿宋_GB2312" w:cs="仿宋_GB2312" w:hint="eastAsia"/>
                <w:bCs/>
                <w:kern w:val="0"/>
                <w:sz w:val="32"/>
                <w:szCs w:val="32"/>
              </w:rPr>
              <w:t>在</w:t>
            </w:r>
            <w:r>
              <w:rPr>
                <w:rFonts w:ascii="仿宋_GB2312" w:eastAsia="仿宋_GB2312" w:cs="仿宋_GB2312" w:hint="eastAsia"/>
                <w:kern w:val="0"/>
                <w:sz w:val="32"/>
                <w:szCs w:val="32"/>
              </w:rPr>
              <w:t>集聚区</w:t>
            </w:r>
            <w:r>
              <w:rPr>
                <w:rFonts w:ascii="仿宋_GB2312" w:eastAsia="仿宋_GB2312" w:cs="仿宋_GB2312" w:hint="eastAsia"/>
                <w:bCs/>
                <w:kern w:val="0"/>
                <w:sz w:val="32"/>
                <w:szCs w:val="32"/>
              </w:rPr>
              <w:t>设立研发中心</w:t>
            </w:r>
            <w:r>
              <w:rPr>
                <w:rFonts w:ascii="仿宋_GB2312" w:eastAsia="仿宋_GB2312" w:cs="仿宋_GB2312" w:hint="eastAsia"/>
                <w:kern w:val="0"/>
                <w:sz w:val="32"/>
                <w:szCs w:val="32"/>
              </w:rPr>
              <w:t>、实验室</w:t>
            </w:r>
            <w:r>
              <w:rPr>
                <w:rFonts w:ascii="仿宋_GB2312" w:eastAsia="仿宋_GB2312" w:cs="仿宋_GB2312" w:hint="eastAsia"/>
                <w:bCs/>
                <w:kern w:val="0"/>
                <w:sz w:val="32"/>
                <w:szCs w:val="32"/>
              </w:rPr>
              <w:t>，与入驻的金融科技企业合作，发展智慧移动支付、证券智能投顾、保险科技、金融客户画像及大数据风控等业务，实现流程再造、产品服务创新和内部风险控制等方面的优化升级。</w:t>
            </w:r>
          </w:p>
          <w:p w:rsidR="00BC3900" w:rsidRDefault="00BC3900" w:rsidP="006F7FD3">
            <w:pPr>
              <w:spacing w:line="580" w:lineRule="exact"/>
              <w:ind w:firstLineChars="200" w:firstLine="643"/>
              <w:rPr>
                <w:rFonts w:ascii="仿宋_GB2312" w:eastAsia="仿宋_GB2312" w:cs="仿宋_GB2312"/>
                <w:b/>
                <w:bCs/>
                <w:kern w:val="0"/>
                <w:sz w:val="32"/>
                <w:szCs w:val="32"/>
              </w:rPr>
            </w:pPr>
            <w:r>
              <w:rPr>
                <w:rFonts w:ascii="仿宋_GB2312" w:eastAsia="仿宋_GB2312" w:cs="仿宋_GB2312" w:hint="eastAsia"/>
                <w:b/>
                <w:bCs/>
                <w:kern w:val="0"/>
                <w:sz w:val="32"/>
                <w:szCs w:val="32"/>
              </w:rPr>
              <w:t>金融科技云服务平台：</w:t>
            </w:r>
            <w:r>
              <w:rPr>
                <w:rFonts w:ascii="仿宋_GB2312" w:eastAsia="仿宋_GB2312" w:cs="仿宋_GB2312" w:hint="eastAsia"/>
                <w:bCs/>
                <w:kern w:val="0"/>
                <w:sz w:val="32"/>
                <w:szCs w:val="32"/>
              </w:rPr>
              <w:t>引进龙头科技企业建设规模化、开放型金融云服务平台，为集聚区内金融科技企业、金融机构、政府部门提供金融科技业务和金融监管提供数据存储、弹性计算、业务应用等高效便捷的基础设施服务。</w:t>
            </w:r>
          </w:p>
          <w:p w:rsidR="00BC3900" w:rsidRDefault="00BC3900" w:rsidP="006F7FD3">
            <w:pPr>
              <w:spacing w:line="580" w:lineRule="exact"/>
              <w:ind w:firstLineChars="200" w:firstLine="643"/>
              <w:rPr>
                <w:rFonts w:ascii="仿宋_GB2312" w:eastAsia="仿宋_GB2312" w:cs="仿宋_GB2312"/>
                <w:bCs/>
                <w:kern w:val="0"/>
                <w:sz w:val="32"/>
                <w:szCs w:val="32"/>
              </w:rPr>
            </w:pPr>
            <w:r>
              <w:rPr>
                <w:rFonts w:ascii="仿宋_GB2312" w:eastAsia="仿宋_GB2312" w:cs="仿宋_GB2312" w:hint="eastAsia"/>
                <w:b/>
                <w:bCs/>
                <w:kern w:val="0"/>
                <w:sz w:val="32"/>
                <w:szCs w:val="32"/>
              </w:rPr>
              <w:t>金融科技监管沙盒：</w:t>
            </w:r>
            <w:r>
              <w:rPr>
                <w:rFonts w:ascii="仿宋_GB2312" w:eastAsia="仿宋_GB2312" w:cs="仿宋_GB2312" w:hint="eastAsia"/>
                <w:kern w:val="0"/>
                <w:sz w:val="32"/>
                <w:szCs w:val="32"/>
              </w:rPr>
              <w:t>以集聚区作为试点区域</w:t>
            </w:r>
            <w:r>
              <w:rPr>
                <w:rFonts w:ascii="仿宋_GB2312" w:eastAsia="仿宋_GB2312" w:cs="仿宋_GB2312" w:hint="eastAsia"/>
                <w:bCs/>
                <w:kern w:val="0"/>
                <w:sz w:val="32"/>
                <w:szCs w:val="32"/>
              </w:rPr>
              <w:t>，制定透明化、标准化、科技化的监管流程，</w:t>
            </w:r>
            <w:r>
              <w:rPr>
                <w:rFonts w:ascii="仿宋_GB2312" w:eastAsia="仿宋_GB2312" w:cs="仿宋_GB2312" w:hint="eastAsia"/>
                <w:kern w:val="0"/>
                <w:sz w:val="32"/>
                <w:szCs w:val="32"/>
              </w:rPr>
              <w:t>探索实施</w:t>
            </w:r>
            <w:r>
              <w:rPr>
                <w:rFonts w:ascii="仿宋_GB2312" w:eastAsia="仿宋_GB2312" w:cs="仿宋_GB2312" w:hint="eastAsia"/>
                <w:bCs/>
                <w:kern w:val="0"/>
                <w:sz w:val="32"/>
                <w:szCs w:val="32"/>
              </w:rPr>
              <w:t>“监管沙盒”制度，激发金融科技创新活力。</w:t>
            </w:r>
          </w:p>
        </w:tc>
      </w:tr>
    </w:tbl>
    <w:p w:rsidR="00BC3900" w:rsidRDefault="00BC3900" w:rsidP="00BC3900">
      <w:pPr>
        <w:spacing w:line="620" w:lineRule="exact"/>
        <w:ind w:firstLine="640"/>
        <w:rPr>
          <w:rFonts w:ascii="楷体_GB2312" w:eastAsia="楷体_GB2312" w:cs="仿宋_GB2312"/>
          <w:kern w:val="0"/>
          <w:sz w:val="32"/>
          <w:szCs w:val="32"/>
        </w:rPr>
      </w:pPr>
      <w:r>
        <w:rPr>
          <w:rFonts w:ascii="楷体_GB2312" w:eastAsia="楷体_GB2312" w:cs="楷体" w:hint="eastAsia"/>
          <w:color w:val="000000"/>
          <w:kern w:val="0"/>
          <w:sz w:val="32"/>
          <w:szCs w:val="32"/>
        </w:rPr>
        <w:lastRenderedPageBreak/>
        <w:t>（六）强化资金集聚功能，培育多元化财富管理业态</w:t>
      </w:r>
    </w:p>
    <w:p w:rsidR="00BC3900" w:rsidRDefault="00BC3900" w:rsidP="00BC3900">
      <w:pPr>
        <w:widowControl/>
        <w:spacing w:line="620" w:lineRule="exact"/>
        <w:rPr>
          <w:rFonts w:ascii="仿宋_GB2312" w:eastAsia="仿宋_GB2312" w:cs="仿宋_GB2312"/>
          <w:b/>
          <w:bCs/>
          <w:color w:val="000000"/>
          <w:kern w:val="0"/>
          <w:sz w:val="32"/>
          <w:szCs w:val="32"/>
        </w:rPr>
      </w:pPr>
      <w:bookmarkStart w:id="4" w:name="_Toc14858945"/>
      <w:bookmarkStart w:id="5" w:name="_Toc14854988"/>
      <w:r>
        <w:rPr>
          <w:rFonts w:ascii="仿宋_GB2312" w:eastAsia="仿宋_GB2312" w:cs="仿宋_GB2312" w:hint="eastAsia"/>
          <w:color w:val="000000"/>
          <w:kern w:val="0"/>
          <w:sz w:val="32"/>
          <w:szCs w:val="32"/>
        </w:rPr>
        <w:lastRenderedPageBreak/>
        <w:t xml:space="preserve">  </w:t>
      </w:r>
      <w:r>
        <w:rPr>
          <w:rFonts w:ascii="仿宋_GB2312" w:eastAsia="仿宋_GB2312" w:cs="仿宋_GB2312" w:hint="eastAsia"/>
          <w:b/>
          <w:bCs/>
          <w:color w:val="000000"/>
          <w:kern w:val="0"/>
          <w:sz w:val="32"/>
          <w:szCs w:val="32"/>
        </w:rPr>
        <w:t xml:space="preserve">  1.鼓励各类基金集聚。</w:t>
      </w:r>
      <w:r>
        <w:rPr>
          <w:rFonts w:ascii="仿宋_GB2312" w:eastAsia="仿宋_GB2312" w:cs="仿宋_GB2312" w:hint="eastAsia"/>
          <w:color w:val="000000"/>
          <w:kern w:val="0"/>
          <w:sz w:val="32"/>
          <w:szCs w:val="32"/>
        </w:rPr>
        <w:t>大力发展股权投资基金，加强与国内顶级私募基金管理机构合作，完善政府引导基金体系，优化税收奖励等支持政策，选址打造具有厦门地区特色的基金空间、小镇，引进各类天使基金、创投基金、并购基金、母基金等在厦集聚。</w:t>
      </w:r>
      <w:bookmarkEnd w:id="4"/>
      <w:bookmarkEnd w:id="5"/>
      <w:r>
        <w:rPr>
          <w:rFonts w:ascii="仿宋_GB2312" w:eastAsia="仿宋_GB2312" w:cs="仿宋_GB2312" w:hint="eastAsia"/>
          <w:color w:val="000000"/>
          <w:kern w:val="0"/>
          <w:sz w:val="32"/>
          <w:szCs w:val="32"/>
        </w:rPr>
        <w:t>稳健发展证券投资基金，支持圆信永丰</w:t>
      </w:r>
      <w:r w:rsidR="00E867D3">
        <w:rPr>
          <w:rFonts w:ascii="仿宋_GB2312" w:eastAsia="仿宋_GB2312" w:cs="仿宋_GB2312" w:hint="eastAsia"/>
          <w:color w:val="000000"/>
          <w:kern w:val="0"/>
          <w:sz w:val="32"/>
          <w:szCs w:val="32"/>
        </w:rPr>
        <w:t>基金管理公司</w:t>
      </w:r>
      <w:r>
        <w:rPr>
          <w:rFonts w:ascii="仿宋_GB2312" w:eastAsia="仿宋_GB2312" w:cs="仿宋_GB2312" w:hint="eastAsia"/>
          <w:color w:val="000000"/>
          <w:kern w:val="0"/>
          <w:sz w:val="32"/>
          <w:szCs w:val="32"/>
        </w:rPr>
        <w:t xml:space="preserve">等利用两岸合资股东优势，争取业务资质为华侨提供跨境理财服务，支持私募证券投资基金在厦合规发展多元化。引导和鼓励各类产业专项基金、基础设施投资基金、房地产投资基金、黄金投资基金、文化艺术品投资基金、绿色投资基金等另类投资基金发展。积争取境内外机构在厦门发起设立人民币国际投资基金，为企业参与两岸及“一带一路”沿线项目提供股权、债权资金支持。积极推动本市金融机构、投资机构与亚投行、中非基金、中拉基金等机构合作，通过银团贷款、资产证券化、共设基金等等方式支持“一带一路”建设项目。 </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bookmarkStart w:id="6" w:name="_Toc14854987"/>
      <w:bookmarkStart w:id="7" w:name="_Toc14858944"/>
      <w:r>
        <w:rPr>
          <w:rFonts w:ascii="仿宋_GB2312" w:eastAsia="仿宋_GB2312" w:cs="仿宋_GB2312" w:hint="eastAsia"/>
          <w:b/>
          <w:bCs/>
          <w:color w:val="000000"/>
          <w:kern w:val="0"/>
          <w:sz w:val="32"/>
          <w:szCs w:val="32"/>
        </w:rPr>
        <w:t>2.鼓励专业机构集聚。</w:t>
      </w:r>
      <w:r>
        <w:rPr>
          <w:rFonts w:ascii="仿宋_GB2312" w:eastAsia="仿宋_GB2312" w:cs="仿宋_GB2312" w:hint="eastAsia"/>
          <w:color w:val="000000"/>
          <w:kern w:val="0"/>
          <w:sz w:val="32"/>
          <w:szCs w:val="32"/>
        </w:rPr>
        <w:t>支持境内外金融机构在厦门设立家族办公室、私人银行业务部或专营机构，券商、信托、公募基金等财富管理</w:t>
      </w:r>
      <w:bookmarkEnd w:id="6"/>
      <w:bookmarkEnd w:id="7"/>
      <w:r>
        <w:rPr>
          <w:rFonts w:ascii="仿宋_GB2312" w:eastAsia="仿宋_GB2312" w:cs="仿宋_GB2312" w:hint="eastAsia"/>
          <w:color w:val="000000"/>
          <w:kern w:val="0"/>
          <w:sz w:val="32"/>
          <w:szCs w:val="32"/>
        </w:rPr>
        <w:t>机构、办事处。支持合规的新型财富管理机构在厦开展业务。在厦筹备举办具有国际影响力的财富管理及金融相关重大展会活动，邀请境内外知名财富管理机构、高净值人士及业界专家高管参会参展，开展招商引资、招才引智。</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bookmarkStart w:id="8" w:name="_Toc14854989"/>
      <w:bookmarkStart w:id="9" w:name="_Toc14858946"/>
      <w:r>
        <w:rPr>
          <w:rFonts w:ascii="仿宋_GB2312" w:eastAsia="仿宋_GB2312" w:cs="仿宋_GB2312" w:hint="eastAsia"/>
          <w:b/>
          <w:bCs/>
          <w:color w:val="000000"/>
          <w:kern w:val="0"/>
          <w:sz w:val="32"/>
          <w:szCs w:val="32"/>
        </w:rPr>
        <w:lastRenderedPageBreak/>
        <w:t>3.打通跨境财富管理通道。</w:t>
      </w:r>
      <w:r>
        <w:rPr>
          <w:rFonts w:ascii="仿宋_GB2312" w:eastAsia="仿宋_GB2312" w:cs="仿宋_GB2312" w:hint="eastAsia"/>
          <w:color w:val="000000"/>
          <w:kern w:val="0"/>
          <w:sz w:val="32"/>
          <w:szCs w:val="32"/>
        </w:rPr>
        <w:t>用好用足自贸试验区政策，开展跨境双向人民币资金池、人民币跨境支付结算、跨境理财融资、跨境再保险、保税展示交易等创新业务，扩大人民币跨境使用范围。支持金融机构探索开展证券、保险、期货跨境业务，开展</w:t>
      </w:r>
      <w:bookmarkEnd w:id="8"/>
      <w:bookmarkEnd w:id="9"/>
      <w:r>
        <w:rPr>
          <w:rFonts w:ascii="仿宋_GB2312" w:eastAsia="仿宋_GB2312" w:cs="仿宋_GB2312" w:hint="eastAsia"/>
          <w:color w:val="000000"/>
          <w:kern w:val="0"/>
          <w:sz w:val="32"/>
          <w:szCs w:val="32"/>
        </w:rPr>
        <w:t>跨境理财通先行先试。研究借鉴内地与香港的基金互认做法，探索厦门与台湾地区以及东南亚国家等海丝沿线国家基金互认模式，开展金融产品跨境代售。借鉴“沪港通”“深港通”等管道化封闭模式，探索厦门与台湾</w:t>
      </w:r>
      <w:r w:rsidR="00E867D3">
        <w:rPr>
          <w:rFonts w:ascii="仿宋_GB2312" w:eastAsia="仿宋_GB2312" w:cs="仿宋_GB2312" w:hint="eastAsia"/>
          <w:color w:val="000000"/>
          <w:kern w:val="0"/>
          <w:sz w:val="32"/>
          <w:szCs w:val="32"/>
        </w:rPr>
        <w:t>及</w:t>
      </w:r>
      <w:r>
        <w:rPr>
          <w:rFonts w:ascii="仿宋_GB2312" w:eastAsia="仿宋_GB2312" w:cs="仿宋_GB2312" w:hint="eastAsia"/>
          <w:color w:val="000000"/>
          <w:kern w:val="0"/>
          <w:sz w:val="32"/>
          <w:szCs w:val="32"/>
        </w:rPr>
        <w:t xml:space="preserve">“海丝”沿线国家投资理财产品的互联互通。 </w:t>
      </w:r>
    </w:p>
    <w:p w:rsidR="00BC3900" w:rsidRDefault="00BC3900" w:rsidP="00BC3900">
      <w:pPr>
        <w:widowControl/>
        <w:spacing w:line="62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4.发挥黄金财富管理功能。</w:t>
      </w:r>
      <w:r>
        <w:rPr>
          <w:rFonts w:ascii="仿宋_GB2312" w:eastAsia="仿宋_GB2312" w:cs="仿宋_GB2312" w:hint="eastAsia"/>
          <w:color w:val="000000"/>
          <w:kern w:val="0"/>
          <w:sz w:val="32"/>
          <w:szCs w:val="32"/>
        </w:rPr>
        <w:t>依托福建省黄金产区优势及闽南地区用金的浓厚传统，加快厦门海峡黄金珠宝产业园开发及面向“一带一路”的黄金金融产业链。深化与上海黄金交易所合作，加快打造区域性黄金交易市场，拓展台湾及“海丝”沿线国家的投资者代理交易、黄金投资等业务，争取在厦设立黄金国际交割仓、互联网黄金公司，打造与“海丝”沿线黄金市场合作的窗口。探索建立非标准金现货交易平台，开展旧金回收、矿金交易、鉴定认证、双向报价、做市交易、信息发布、资金清算等系列服务等业务，打通财富与黄金投资增值的流通渠道。支持符合条件的金融机构开展黄金期货、黄金期权、黄金 ETF 基金和黄金结构性理财产品等资产管理业务。</w:t>
      </w:r>
    </w:p>
    <w:p w:rsidR="00BC3900" w:rsidRDefault="00BC3900" w:rsidP="00BC3900">
      <w:pPr>
        <w:widowControl/>
        <w:rPr>
          <w:rFonts w:ascii="仿宋_GB2312" w:eastAsia="仿宋_GB2312" w:cs="仿宋_GB2312"/>
          <w:color w:val="000000"/>
          <w:kern w:val="0"/>
          <w:sz w:val="32"/>
          <w:szCs w:val="32"/>
        </w:rPr>
      </w:pPr>
    </w:p>
    <w:tbl>
      <w:tblPr>
        <w:tblW w:w="0" w:type="auto"/>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32"/>
      </w:tblGrid>
      <w:tr w:rsidR="00BC3900" w:rsidTr="006F7FD3">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spacing w:line="620" w:lineRule="exact"/>
              <w:ind w:firstLineChars="200" w:firstLine="643"/>
              <w:rPr>
                <w:rFonts w:ascii="仿宋_GB2312" w:eastAsia="仿宋_GB2312" w:cs="楷体"/>
                <w:b/>
                <w:bCs/>
                <w:sz w:val="32"/>
                <w:szCs w:val="32"/>
              </w:rPr>
            </w:pPr>
            <w:r>
              <w:rPr>
                <w:rFonts w:ascii="仿宋_GB2312" w:eastAsia="仿宋_GB2312" w:cs="仿宋_GB2312" w:hint="eastAsia"/>
                <w:b/>
                <w:bCs/>
                <w:color w:val="000000"/>
                <w:kern w:val="0"/>
                <w:sz w:val="32"/>
                <w:szCs w:val="32"/>
              </w:rPr>
              <w:lastRenderedPageBreak/>
              <w:t>专栏：</w:t>
            </w:r>
            <w:r>
              <w:rPr>
                <w:rFonts w:ascii="仿宋_GB2312" w:eastAsia="仿宋_GB2312" w:cs="楷体" w:hint="eastAsia"/>
                <w:b/>
                <w:bCs/>
                <w:sz w:val="32"/>
                <w:szCs w:val="32"/>
              </w:rPr>
              <w:t>厦门海峡黄金珠宝产业园</w:t>
            </w:r>
            <w:r>
              <w:rPr>
                <w:rFonts w:ascii="仿宋_GB2312" w:eastAsia="仿宋_GB2312" w:cs="仿宋_GB2312" w:hint="eastAsia"/>
                <w:b/>
                <w:bCs/>
                <w:color w:val="000000"/>
                <w:kern w:val="0"/>
                <w:sz w:val="32"/>
                <w:szCs w:val="32"/>
              </w:rPr>
              <w:t>全产业链建设重点</w:t>
            </w:r>
          </w:p>
        </w:tc>
      </w:tr>
      <w:tr w:rsidR="00BC3900" w:rsidTr="006F7FD3">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spacing w:line="620" w:lineRule="exact"/>
              <w:ind w:firstLineChars="200" w:firstLine="640"/>
              <w:rPr>
                <w:rFonts w:ascii="仿宋_GB2312" w:eastAsia="仿宋_GB2312" w:cs="楷体"/>
                <w:bCs/>
                <w:sz w:val="32"/>
                <w:szCs w:val="32"/>
              </w:rPr>
            </w:pPr>
            <w:r>
              <w:rPr>
                <w:rFonts w:ascii="仿宋_GB2312" w:eastAsia="仿宋_GB2312" w:cs="楷体" w:hint="eastAsia"/>
                <w:bCs/>
                <w:sz w:val="32"/>
                <w:szCs w:val="32"/>
              </w:rPr>
              <w:t>厦门海峡黄金珠宝产业园</w:t>
            </w:r>
            <w:r>
              <w:rPr>
                <w:rFonts w:ascii="仿宋_GB2312" w:eastAsia="仿宋_GB2312" w:cs="楷体" w:hint="eastAsia"/>
                <w:sz w:val="32"/>
                <w:szCs w:val="32"/>
              </w:rPr>
              <w:t>选址厦门自贸试验区海沧片区，首期园区利用原出口加工区10万平方米厂房改造使用，具体承载厦门市政府与上海黄金交易所战略合作协议确定的合作项目，打造黄金全产业链。到2025年，基本建成以下主要业务板块：</w:t>
            </w:r>
          </w:p>
          <w:p w:rsidR="00BC3900" w:rsidRDefault="00BC3900" w:rsidP="006F7FD3">
            <w:pPr>
              <w:spacing w:line="620" w:lineRule="exact"/>
              <w:ind w:firstLineChars="200" w:firstLine="643"/>
              <w:rPr>
                <w:rFonts w:ascii="仿宋_GB2312" w:eastAsia="仿宋_GB2312" w:cs="仿宋"/>
                <w:sz w:val="32"/>
                <w:szCs w:val="32"/>
              </w:rPr>
            </w:pPr>
            <w:r>
              <w:rPr>
                <w:rFonts w:ascii="仿宋_GB2312" w:eastAsia="仿宋_GB2312" w:cs="楷体" w:hint="eastAsia"/>
                <w:b/>
                <w:bCs/>
                <w:sz w:val="32"/>
                <w:szCs w:val="32"/>
              </w:rPr>
              <w:t>黄金交易代理：</w:t>
            </w:r>
            <w:r>
              <w:rPr>
                <w:rFonts w:ascii="仿宋_GB2312" w:eastAsia="仿宋_GB2312" w:cs="楷体" w:hint="eastAsia"/>
                <w:bCs/>
                <w:sz w:val="32"/>
                <w:szCs w:val="32"/>
              </w:rPr>
              <w:t>支持厦门黄金投资公司做</w:t>
            </w:r>
            <w:r>
              <w:rPr>
                <w:rFonts w:ascii="仿宋_GB2312" w:eastAsia="仿宋_GB2312" w:cs="楷体" w:hint="eastAsia"/>
                <w:sz w:val="32"/>
                <w:szCs w:val="32"/>
              </w:rPr>
              <w:t>大</w:t>
            </w:r>
            <w:r>
              <w:rPr>
                <w:rFonts w:ascii="仿宋_GB2312" w:eastAsia="仿宋_GB2312" w:cs="仿宋" w:hint="eastAsia"/>
                <w:sz w:val="32"/>
                <w:szCs w:val="32"/>
              </w:rPr>
              <w:t>机构投资者黄金交易经纪业务，逐步拓展境内合格个人投资者及台湾、“一带一路”沿线地区的合格投资者“国际板”交易经纪业务。在条件成熟时，争取上海黄金交易所授权率先开展非标黄金交易试点。开展黄金从业人员资格培训、投资专业辅导和投资者风险教育。</w:t>
            </w:r>
          </w:p>
          <w:p w:rsidR="00BC3900" w:rsidRDefault="00BC3900" w:rsidP="006F7FD3">
            <w:pPr>
              <w:spacing w:line="620" w:lineRule="exact"/>
              <w:ind w:firstLineChars="200" w:firstLine="643"/>
              <w:rPr>
                <w:rFonts w:ascii="仿宋_GB2312" w:eastAsia="仿宋_GB2312" w:cs="仿宋"/>
                <w:b/>
                <w:bCs/>
                <w:sz w:val="32"/>
                <w:szCs w:val="32"/>
              </w:rPr>
            </w:pPr>
            <w:r>
              <w:rPr>
                <w:rFonts w:ascii="仿宋_GB2312" w:eastAsia="仿宋_GB2312" w:cs="仿宋" w:hint="eastAsia"/>
                <w:b/>
                <w:bCs/>
                <w:sz w:val="32"/>
                <w:szCs w:val="32"/>
              </w:rPr>
              <w:t>黄金商贸零售：</w:t>
            </w:r>
            <w:r>
              <w:rPr>
                <w:rFonts w:ascii="仿宋_GB2312" w:eastAsia="仿宋_GB2312" w:hint="eastAsia"/>
                <w:bCs/>
                <w:sz w:val="32"/>
                <w:szCs w:val="32"/>
              </w:rPr>
              <w:t>引进黄金批发销售领域的龙头企业，在黄金珠宝产业园及客流、商流集聚的地段选址设立集黄金批发、零售、鉴定、回收、拍卖等功能为一体的特色金店和金街。扶持龙头企业完善黄金珠宝电商销售平台，加快业务模式创新，探索“共享黄金”等新型黄金首饰租赁业务，做大市场份额。</w:t>
            </w:r>
          </w:p>
          <w:p w:rsidR="00BC3900" w:rsidRDefault="00BC3900" w:rsidP="006F7FD3">
            <w:pPr>
              <w:spacing w:line="600" w:lineRule="exact"/>
              <w:ind w:firstLine="560"/>
              <w:rPr>
                <w:rFonts w:ascii="仿宋_GB2312" w:eastAsia="仿宋_GB2312"/>
                <w:bCs/>
                <w:sz w:val="32"/>
                <w:szCs w:val="32"/>
              </w:rPr>
            </w:pPr>
            <w:r>
              <w:rPr>
                <w:rFonts w:ascii="仿宋_GB2312" w:eastAsia="仿宋_GB2312" w:cs="仿宋" w:hint="eastAsia"/>
                <w:b/>
                <w:bCs/>
                <w:sz w:val="32"/>
                <w:szCs w:val="32"/>
              </w:rPr>
              <w:t>黄金精炼加工：</w:t>
            </w:r>
            <w:r>
              <w:rPr>
                <w:rFonts w:ascii="仿宋_GB2312" w:eastAsia="仿宋_GB2312" w:cs="仿宋" w:hint="eastAsia"/>
                <w:bCs/>
                <w:sz w:val="32"/>
                <w:szCs w:val="32"/>
              </w:rPr>
              <w:t>引进龙头企业</w:t>
            </w:r>
            <w:r>
              <w:rPr>
                <w:rFonts w:ascii="仿宋_GB2312" w:eastAsia="仿宋_GB2312" w:cs="仿宋" w:hint="eastAsia"/>
                <w:sz w:val="32"/>
                <w:szCs w:val="32"/>
              </w:rPr>
              <w:t>设立</w:t>
            </w:r>
            <w:r>
              <w:rPr>
                <w:rFonts w:ascii="仿宋_GB2312" w:eastAsia="仿宋_GB2312" w:hint="eastAsia"/>
                <w:bCs/>
                <w:sz w:val="32"/>
                <w:szCs w:val="32"/>
              </w:rPr>
              <w:t>黄金精炼工厂，申请上海黄金交易所资格认证，保障黄金交易、黄金珠宝首饰生产的用金需求和支持民间储金标准化回收。</w:t>
            </w:r>
            <w:r>
              <w:rPr>
                <w:rFonts w:ascii="仿宋_GB2312" w:eastAsia="仿宋_GB2312" w:cs="仿宋" w:hint="eastAsia"/>
                <w:bCs/>
                <w:sz w:val="32"/>
                <w:szCs w:val="32"/>
              </w:rPr>
              <w:t>鼓励</w:t>
            </w:r>
            <w:r>
              <w:rPr>
                <w:rFonts w:ascii="仿宋_GB2312" w:eastAsia="仿宋_GB2312" w:hint="eastAsia"/>
                <w:bCs/>
                <w:sz w:val="32"/>
                <w:szCs w:val="32"/>
              </w:rPr>
              <w:t>黄金珠宝加工企业研发设计较高附加值的黄金制品。依托厦门口岸交通</w:t>
            </w:r>
            <w:r>
              <w:rPr>
                <w:rFonts w:ascii="仿宋_GB2312" w:eastAsia="仿宋_GB2312" w:hint="eastAsia"/>
                <w:bCs/>
                <w:sz w:val="32"/>
                <w:szCs w:val="32"/>
              </w:rPr>
              <w:lastRenderedPageBreak/>
              <w:t>物流基础优势，开展黄金进出口业务。</w:t>
            </w:r>
          </w:p>
          <w:p w:rsidR="00BC3900" w:rsidRDefault="00BC3900" w:rsidP="006F7FD3">
            <w:pPr>
              <w:spacing w:line="600" w:lineRule="exact"/>
              <w:ind w:firstLine="560"/>
              <w:rPr>
                <w:rFonts w:ascii="仿宋_GB2312" w:eastAsia="仿宋_GB2312" w:cs="仿宋"/>
                <w:bCs/>
                <w:sz w:val="32"/>
                <w:szCs w:val="32"/>
              </w:rPr>
            </w:pPr>
            <w:r>
              <w:rPr>
                <w:rFonts w:ascii="仿宋_GB2312" w:eastAsia="仿宋_GB2312" w:cs="仿宋" w:hint="eastAsia"/>
                <w:b/>
                <w:bCs/>
                <w:sz w:val="32"/>
                <w:szCs w:val="32"/>
              </w:rPr>
              <w:t>黄金资产管理：</w:t>
            </w:r>
            <w:r>
              <w:rPr>
                <w:rFonts w:ascii="仿宋_GB2312" w:eastAsia="仿宋_GB2312" w:cs="仿宋_GB2312" w:hint="eastAsia"/>
                <w:color w:val="000000"/>
                <w:kern w:val="0"/>
                <w:sz w:val="32"/>
                <w:szCs w:val="32"/>
              </w:rPr>
              <w:t>开展黄金期货、黄金期权、黄金 ETF 基金和黄金结构性理财产品等资产管理业务。争取设立互联网黄金公司，联通各银行机构“纸黄金”投资市场。鼓励发展黄金典当，</w:t>
            </w:r>
            <w:r>
              <w:rPr>
                <w:rFonts w:ascii="仿宋_GB2312" w:eastAsia="仿宋_GB2312" w:cs="仿宋" w:hint="eastAsia"/>
                <w:sz w:val="32"/>
                <w:szCs w:val="32"/>
              </w:rPr>
              <w:t>拓展民间储金回收抵质押融资功能，打通民间储金进入黄金市场的渠道。</w:t>
            </w:r>
          </w:p>
          <w:p w:rsidR="00BC3900" w:rsidRDefault="00BC3900" w:rsidP="006F7FD3">
            <w:pPr>
              <w:spacing w:line="600" w:lineRule="exact"/>
              <w:ind w:firstLine="560"/>
              <w:rPr>
                <w:rFonts w:ascii="仿宋_GB2312" w:eastAsia="仿宋_GB2312" w:cs="仿宋"/>
                <w:sz w:val="32"/>
                <w:szCs w:val="32"/>
              </w:rPr>
            </w:pPr>
            <w:r>
              <w:rPr>
                <w:rFonts w:ascii="仿宋_GB2312" w:eastAsia="仿宋_GB2312" w:cs="仿宋" w:hint="eastAsia"/>
                <w:b/>
                <w:bCs/>
                <w:sz w:val="32"/>
                <w:szCs w:val="32"/>
              </w:rPr>
              <w:t>黄金金融配套：</w:t>
            </w:r>
            <w:r>
              <w:rPr>
                <w:rFonts w:ascii="仿宋_GB2312" w:eastAsia="仿宋_GB2312" w:cs="仿宋" w:hint="eastAsia"/>
                <w:sz w:val="32"/>
                <w:szCs w:val="32"/>
              </w:rPr>
              <w:t>推动金融机构推出针对黄金企业的信贷、黄金租赁等业务服务，降低黄金企业融资成本</w:t>
            </w:r>
            <w:r>
              <w:rPr>
                <w:rFonts w:ascii="仿宋_GB2312" w:eastAsia="仿宋_GB2312" w:cs="仿宋_GB2312" w:hint="eastAsia"/>
                <w:sz w:val="32"/>
                <w:szCs w:val="32"/>
              </w:rPr>
              <w:t>。</w:t>
            </w:r>
            <w:r>
              <w:rPr>
                <w:rFonts w:ascii="仿宋_GB2312" w:eastAsia="仿宋_GB2312" w:cs="仿宋" w:hint="eastAsia"/>
                <w:sz w:val="32"/>
                <w:szCs w:val="32"/>
              </w:rPr>
              <w:t>引进</w:t>
            </w:r>
            <w:r>
              <w:rPr>
                <w:rFonts w:ascii="仿宋_GB2312" w:eastAsia="仿宋_GB2312" w:hint="eastAsia"/>
                <w:sz w:val="32"/>
                <w:szCs w:val="32"/>
              </w:rPr>
              <w:t>符合条件的发起方在厦设立</w:t>
            </w:r>
            <w:r>
              <w:rPr>
                <w:rFonts w:ascii="仿宋_GB2312" w:eastAsia="仿宋_GB2312" w:cs="仿宋" w:hint="eastAsia"/>
                <w:sz w:val="32"/>
                <w:szCs w:val="32"/>
              </w:rPr>
              <w:t>黄金产业投资基金，为园区产业园开发、企业融资、矿产收购以及技术创新提供资金保障。支持符合条件的黄金企业在厦发起设立消费金融公司，为消费者采购黄金制品提供小额信贷服务。</w:t>
            </w:r>
          </w:p>
          <w:p w:rsidR="00BC3900" w:rsidRDefault="00BC3900" w:rsidP="006F7FD3">
            <w:pPr>
              <w:spacing w:line="600" w:lineRule="exact"/>
              <w:ind w:firstLineChars="200" w:firstLine="643"/>
              <w:rPr>
                <w:rFonts w:ascii="仿宋_GB2312" w:eastAsia="仿宋_GB2312" w:cs="仿宋"/>
                <w:bCs/>
                <w:sz w:val="32"/>
                <w:szCs w:val="32"/>
              </w:rPr>
            </w:pPr>
            <w:r>
              <w:rPr>
                <w:rFonts w:ascii="仿宋_GB2312" w:eastAsia="仿宋_GB2312" w:cs="仿宋" w:hint="eastAsia"/>
                <w:b/>
                <w:bCs/>
                <w:sz w:val="32"/>
                <w:szCs w:val="32"/>
              </w:rPr>
              <w:t>黄金旅游文创：</w:t>
            </w:r>
            <w:r>
              <w:rPr>
                <w:rFonts w:ascii="仿宋_GB2312" w:eastAsia="仿宋_GB2312" w:cs="仿宋" w:hint="eastAsia"/>
                <w:sz w:val="32"/>
                <w:szCs w:val="32"/>
              </w:rPr>
              <w:t>引进和培育黄金珠宝设计研发团队、工作室及创意设计企业，鼓励在厦门举办各类产品发布会、交易会、拍卖会、设计师论坛、设计比赛等活动。结合厦门交通、景区及黄金珠宝产业园布局，设计黄金特色旅游线路，选址设立黄金博物馆，举办黄金相关特色表演，提供各类黄金个性化定制及消费体验，培育黄金文化。争取上海黄金交易所在厦定期举办面向“一带一路”国际黄金合作论坛和展会，提升厦门黄金产业的知名度和区域影响力。</w:t>
            </w:r>
          </w:p>
        </w:tc>
      </w:tr>
    </w:tbl>
    <w:p w:rsidR="00BC3900" w:rsidRDefault="00BC3900" w:rsidP="00BC3900">
      <w:pPr>
        <w:widowControl/>
        <w:spacing w:line="600" w:lineRule="exact"/>
        <w:ind w:firstLineChars="200" w:firstLine="640"/>
        <w:rPr>
          <w:rFonts w:ascii="楷体" w:eastAsia="楷体" w:cs="楷体"/>
          <w:color w:val="000000"/>
          <w:kern w:val="0"/>
          <w:sz w:val="32"/>
          <w:szCs w:val="32"/>
        </w:rPr>
      </w:pPr>
    </w:p>
    <w:p w:rsidR="00BC3900" w:rsidRDefault="00BC3900" w:rsidP="00BC3900">
      <w:pPr>
        <w:widowControl/>
        <w:spacing w:line="600" w:lineRule="exact"/>
        <w:ind w:firstLineChars="200" w:firstLine="640"/>
        <w:rPr>
          <w:rFonts w:ascii="楷体_GB2312" w:eastAsia="楷体_GB2312" w:cs="楷体"/>
          <w:color w:val="000000"/>
          <w:kern w:val="0"/>
          <w:sz w:val="32"/>
          <w:szCs w:val="32"/>
        </w:rPr>
      </w:pPr>
      <w:r>
        <w:rPr>
          <w:rFonts w:ascii="楷体_GB2312" w:eastAsia="楷体_GB2312" w:cs="楷体" w:hint="eastAsia"/>
          <w:color w:val="000000"/>
          <w:kern w:val="0"/>
          <w:sz w:val="32"/>
          <w:szCs w:val="32"/>
        </w:rPr>
        <w:t>（七）扩大金融对外开放，提升国际化发展水平</w:t>
      </w:r>
    </w:p>
    <w:p w:rsidR="00BC3900" w:rsidRDefault="00BC3900" w:rsidP="00BC3900">
      <w:pPr>
        <w:widowControl/>
        <w:spacing w:line="60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lastRenderedPageBreak/>
        <w:t>1.落实放宽金融业外资准入政策。</w:t>
      </w:r>
      <w:r>
        <w:rPr>
          <w:rFonts w:ascii="仿宋_GB2312" w:eastAsia="仿宋_GB2312" w:cs="仿宋_GB2312" w:hint="eastAsia"/>
          <w:bCs/>
          <w:color w:val="000000"/>
          <w:kern w:val="0"/>
          <w:sz w:val="32"/>
          <w:szCs w:val="32"/>
        </w:rPr>
        <w:t>按照国家金融开放时间表和路线图，放宽金融外资准入限制，重点引进未在我市设立机构的世界500强金融机构以及“一带一路”沿线国家和地区金融机构。支持已在厦设立的合资银行金融机构提高外资股权比例，鼓励在厦信托、金融租赁、消费金融、证券、期货、保险等领域引入外资，支持外资在厦参与设立、投资入股商业银行理财子公司、金融资产投资公司、汽车金融公司、货币经纪公司、第三方支付公司、保险经纪公司、保险资产管理公司、养老金管理公司等机构。支持外资机构在厦发起设立各类私募投资基金，利用合格境外有限合伙人（QFLP）政策投资本地企业项目，条件成熟时争取开展合格境内投资者境外投资（QDIE）试点，形成外商股权投资基金集聚地。</w:t>
      </w:r>
    </w:p>
    <w:p w:rsidR="00BC3900" w:rsidRDefault="00BC3900" w:rsidP="00BC3900">
      <w:pPr>
        <w:widowControl/>
        <w:ind w:firstLineChars="200" w:firstLine="640"/>
        <w:rPr>
          <w:rFonts w:ascii="仿宋_GB2312" w:eastAsia="仿宋_GB2312" w:cs="仿宋_GB2312"/>
          <w:bCs/>
          <w:color w:val="000000"/>
          <w:kern w:val="0"/>
          <w:sz w:val="32"/>
          <w:szCs w:val="32"/>
        </w:rPr>
      </w:pPr>
    </w:p>
    <w:tbl>
      <w:tblPr>
        <w:tblpPr w:leftFromText="180" w:rightFromText="180" w:vertAnchor="text" w:horzAnchor="page" w:tblpX="1734"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40"/>
      </w:tblGrid>
      <w:tr w:rsidR="00BC3900" w:rsidTr="006F7FD3">
        <w:tc>
          <w:tcPr>
            <w:tcW w:w="8640" w:type="dxa"/>
            <w:tcBorders>
              <w:top w:val="single" w:sz="4" w:space="0" w:color="auto"/>
              <w:left w:val="single" w:sz="4" w:space="0" w:color="auto"/>
              <w:bottom w:val="single" w:sz="4" w:space="0" w:color="auto"/>
              <w:right w:val="single" w:sz="4" w:space="0" w:color="auto"/>
            </w:tcBorders>
          </w:tcPr>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专栏：QFLP与QDIE试点</w:t>
            </w:r>
          </w:p>
        </w:tc>
      </w:tr>
      <w:tr w:rsidR="00BC3900" w:rsidTr="006F7FD3">
        <w:tc>
          <w:tcPr>
            <w:tcW w:w="8640" w:type="dxa"/>
            <w:tcBorders>
              <w:top w:val="single" w:sz="4" w:space="0" w:color="auto"/>
              <w:left w:val="single" w:sz="4" w:space="0" w:color="auto"/>
              <w:bottom w:val="single" w:sz="4" w:space="0" w:color="auto"/>
              <w:right w:val="single" w:sz="4" w:space="0" w:color="auto"/>
            </w:tcBorders>
          </w:tcPr>
          <w:p w:rsidR="00BC3900" w:rsidRDefault="00BC3900" w:rsidP="006F7FD3">
            <w:pPr>
              <w:widowControl/>
              <w:spacing w:line="58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合格境外有限合伙人(Qualified  Foreign Limited Partner，QFLP）：</w:t>
            </w:r>
            <w:r>
              <w:rPr>
                <w:rFonts w:ascii="仿宋_GB2312" w:eastAsia="仿宋_GB2312" w:cs="仿宋_GB2312" w:hint="eastAsia"/>
                <w:bCs/>
                <w:color w:val="000000"/>
                <w:kern w:val="0"/>
                <w:sz w:val="32"/>
                <w:szCs w:val="32"/>
              </w:rPr>
              <w:t>指符合条件的境外投资者在通过</w:t>
            </w:r>
            <w:r>
              <w:rPr>
                <w:rFonts w:ascii="仿宋_GB2312" w:eastAsia="仿宋_GB2312" w:cs="仿宋_GB2312" w:hint="eastAsia"/>
                <w:color w:val="000000"/>
                <w:kern w:val="0"/>
                <w:sz w:val="32"/>
                <w:szCs w:val="32"/>
              </w:rPr>
              <w:t>监管部门</w:t>
            </w:r>
            <w:r>
              <w:rPr>
                <w:rFonts w:ascii="仿宋_GB2312" w:eastAsia="仿宋_GB2312" w:cs="仿宋_GB2312" w:hint="eastAsia"/>
                <w:bCs/>
                <w:color w:val="000000"/>
                <w:kern w:val="0"/>
                <w:sz w:val="32"/>
                <w:szCs w:val="32"/>
              </w:rPr>
              <w:t>审批和其外汇资金的监管程序后，将境外资金兑换为人民币资金，在境内进行股权投资。</w:t>
            </w:r>
          </w:p>
          <w:p w:rsidR="00BC3900" w:rsidRDefault="00BC3900" w:rsidP="006F7FD3">
            <w:pPr>
              <w:widowControl/>
              <w:spacing w:line="58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合格境内投资企业（Qualified Domestic Investment Enterprise，QDIE）</w:t>
            </w:r>
            <w:r>
              <w:rPr>
                <w:rFonts w:ascii="仿宋_GB2312" w:eastAsia="仿宋_GB2312" w:cs="仿宋_GB2312" w:hint="eastAsia"/>
                <w:bCs/>
                <w:color w:val="000000"/>
                <w:kern w:val="0"/>
                <w:sz w:val="32"/>
                <w:szCs w:val="32"/>
              </w:rPr>
              <w:t>：</w:t>
            </w:r>
            <w:r>
              <w:rPr>
                <w:rFonts w:ascii="仿宋_GB2312" w:eastAsia="仿宋_GB2312" w:cs="仿宋_GB2312" w:hint="eastAsia"/>
                <w:color w:val="000000"/>
                <w:kern w:val="0"/>
                <w:sz w:val="32"/>
                <w:szCs w:val="32"/>
              </w:rPr>
              <w:t>指符合条件的境内投资者</w:t>
            </w:r>
            <w:r>
              <w:rPr>
                <w:rFonts w:ascii="仿宋_GB2312" w:eastAsia="仿宋_GB2312" w:cs="仿宋_GB2312" w:hint="eastAsia"/>
                <w:bCs/>
                <w:color w:val="000000"/>
                <w:kern w:val="0"/>
                <w:sz w:val="32"/>
                <w:szCs w:val="32"/>
              </w:rPr>
              <w:t>在</w:t>
            </w:r>
            <w:r>
              <w:rPr>
                <w:rFonts w:ascii="仿宋_GB2312" w:eastAsia="仿宋_GB2312" w:cs="仿宋_GB2312" w:hint="eastAsia"/>
                <w:color w:val="000000"/>
                <w:kern w:val="0"/>
                <w:sz w:val="32"/>
                <w:szCs w:val="32"/>
              </w:rPr>
              <w:t>通过监管部门审批后</w:t>
            </w:r>
            <w:r>
              <w:rPr>
                <w:rFonts w:ascii="仿宋_GB2312" w:eastAsia="仿宋_GB2312" w:cs="仿宋_GB2312" w:hint="eastAsia"/>
                <w:bCs/>
                <w:color w:val="000000"/>
                <w:kern w:val="0"/>
                <w:sz w:val="32"/>
                <w:szCs w:val="32"/>
              </w:rPr>
              <w:t>，面向境内投资者募集资金，对境外投资标的进行投资。</w:t>
            </w:r>
          </w:p>
        </w:tc>
      </w:tr>
    </w:tbl>
    <w:p w:rsidR="00BC3900" w:rsidRDefault="00BC3900" w:rsidP="00BC3900">
      <w:pPr>
        <w:widowControl/>
        <w:spacing w:line="58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lastRenderedPageBreak/>
        <w:t>2.推动区域金融市场更高层次开放。</w:t>
      </w:r>
      <w:r>
        <w:rPr>
          <w:rFonts w:ascii="仿宋_GB2312" w:eastAsia="仿宋_GB2312" w:cs="仿宋_GB2312" w:hint="eastAsia"/>
          <w:bCs/>
          <w:color w:val="000000"/>
          <w:kern w:val="0"/>
          <w:sz w:val="32"/>
          <w:szCs w:val="32"/>
        </w:rPr>
        <w:t>支持在厦外资金融机构率先实施国家金融对外开放业务，推动市场要素双向流动，形成示范效应。支持在厦外资银行分行争取管理行授权，开业即一并申请人民币业务，开展衍生产品交易、代理债券发行兑付及承销等业务；支持外资机构、境外机构投资者通过在厦金融机构进入银行间债券市场，开展相关交易业务。综合运用资本项目收入支付便利化试点、跨国公司跨境资金集中运营管理等政策业务工具，研究降低业务准入门槛，积极探索准入前国民待遇加负面清单管理模式，在厦打造跨国公司总部经济和资金结算集聚地。完善离岸账户体系及管理机制，从扩大境外机构境内账户（NRA）功能、做大离岸贸易外汇收支业务起步，建立和完善适应离岸投资贸易发展的宽松可控的存贷款制度、外债管理制度和外汇资金结算便利制度，逐步向更高水平的离岸银行、证券、保险业务创新拓展，构建“内外分离型”离岸金融中心，探索自由港金融创新。</w:t>
      </w:r>
    </w:p>
    <w:p w:rsidR="00BC3900" w:rsidRDefault="00BC3900" w:rsidP="00BC3900">
      <w:pPr>
        <w:widowControl/>
        <w:spacing w:line="58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3.打造“海丝”金融服务基地。</w:t>
      </w:r>
      <w:r>
        <w:rPr>
          <w:rFonts w:ascii="仿宋_GB2312" w:eastAsia="仿宋_GB2312" w:cs="仿宋_GB2312" w:hint="eastAsia"/>
          <w:bCs/>
          <w:color w:val="000000"/>
          <w:kern w:val="0"/>
          <w:sz w:val="32"/>
          <w:szCs w:val="32"/>
        </w:rPr>
        <w:t>争取各银行、保险等金融机构总部支持，授权在厦分支机构作为“一带一路”业务管理总部，打造对外拓展业务的窗口。加强厦门市与国家金融行业协会组织、国际或区域性金融合作组织、国际金融市场组织的业务联系，提升国际影响力。做强做大人民币结算代理清算规模，进一步拓展“一带一路”沿线合作国家和地区范围，充分发挥厦门在参与人民币国际化进程中的作用。积极争取国家开发性、政策性金融资源，助力企业“走出去”。</w:t>
      </w:r>
      <w:r>
        <w:rPr>
          <w:rFonts w:ascii="仿宋_GB2312" w:eastAsia="仿宋_GB2312" w:cs="仿宋_GB2312" w:hint="eastAsia"/>
          <w:bCs/>
          <w:color w:val="000000"/>
          <w:kern w:val="0"/>
          <w:sz w:val="32"/>
          <w:szCs w:val="32"/>
        </w:rPr>
        <w:lastRenderedPageBreak/>
        <w:t>根据厦门与台湾及东南亚的特殊地理位置关系和区位优势，引进相关行业龙头企业通过厦门拓展面向“一带一路”沿线的现代化、国际化支付结算业务。积极推动开展黄金国际板业务创新，打造面向“一带一路”的区域黄金业务中心。加强厦门市与各期货商品交易所合作，推动在厦设立具有国际保税功能的期货交割库。推动加快组建专业保险公司，探索参与“一带一路”国际保险再保险共同体和投资共同体建设。</w:t>
      </w:r>
    </w:p>
    <w:p w:rsidR="00BC3900" w:rsidRDefault="00BC3900" w:rsidP="00BC3900">
      <w:pPr>
        <w:widowControl/>
        <w:spacing w:line="580" w:lineRule="exact"/>
        <w:ind w:firstLineChars="200" w:firstLine="640"/>
        <w:rPr>
          <w:rFonts w:ascii="楷体_GB2312" w:eastAsia="楷体_GB2312" w:cs="楷体"/>
          <w:color w:val="000000"/>
          <w:kern w:val="0"/>
          <w:sz w:val="32"/>
          <w:szCs w:val="32"/>
        </w:rPr>
      </w:pPr>
      <w:r>
        <w:rPr>
          <w:rFonts w:ascii="楷体_GB2312" w:eastAsia="楷体_GB2312" w:cs="楷体" w:hint="eastAsia"/>
          <w:color w:val="000000"/>
          <w:kern w:val="0"/>
          <w:sz w:val="32"/>
          <w:szCs w:val="32"/>
        </w:rPr>
        <w:t xml:space="preserve">（八）加快金融集聚区建设，打造城市“金融会客厅” </w:t>
      </w:r>
    </w:p>
    <w:p w:rsidR="00BC3900" w:rsidRDefault="00BC3900" w:rsidP="00BC3900">
      <w:pPr>
        <w:widowControl/>
        <w:spacing w:line="58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t xml:space="preserve">1.建设国际一流软硬件设施。 </w:t>
      </w:r>
      <w:r>
        <w:rPr>
          <w:rFonts w:ascii="仿宋_GB2312" w:eastAsia="仿宋_GB2312" w:cs="仿宋_GB2312" w:hint="eastAsia"/>
          <w:color w:val="000000"/>
          <w:kern w:val="0"/>
          <w:sz w:val="32"/>
          <w:szCs w:val="32"/>
        </w:rPr>
        <w:t>借鉴伦敦金丝雀码头、上海陆家嘴、北京金融街等先进金融集聚区开发建设经验，合理规划“两岸金融中心”片区，实现有序供给，为片区提升发展预留空间。按照产城融合的发展理念，加快建设高端智慧商业楼宇、城市绿化以及国际一流的交通、医疗、教育、居住等配套设施和公共服务平台，优化空间承载能力。 在核心片区规划建设国际高端文化艺术、酒店休闲项目，吸引高端商务、游客群体入驻，塑造城市金融文化品牌形象，将片区打造成为城市的“金融会客厅”。</w:t>
      </w:r>
    </w:p>
    <w:tbl>
      <w:tblPr>
        <w:tblW w:w="853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32"/>
      </w:tblGrid>
      <w:tr w:rsidR="00BC3900" w:rsidTr="00E62E41">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widowControl/>
              <w:jc w:val="center"/>
              <w:rPr>
                <w:rFonts w:ascii="仿宋_GB2312" w:eastAsia="仿宋_GB2312" w:cs="仿宋_GB2312"/>
                <w:b/>
                <w:bCs/>
                <w:color w:val="000000"/>
                <w:kern w:val="0"/>
                <w:sz w:val="32"/>
                <w:szCs w:val="32"/>
              </w:rPr>
            </w:pPr>
            <w:r>
              <w:rPr>
                <w:rFonts w:ascii="仿宋_GB2312" w:eastAsia="仿宋_GB2312" w:cs="仿宋_GB2312" w:hint="eastAsia"/>
                <w:b/>
                <w:bCs/>
                <w:color w:val="000000"/>
                <w:kern w:val="0"/>
                <w:sz w:val="32"/>
                <w:szCs w:val="32"/>
              </w:rPr>
              <w:t>专栏：“两岸金融中心”片区建设布局</w:t>
            </w:r>
          </w:p>
        </w:tc>
      </w:tr>
      <w:tr w:rsidR="00BC3900" w:rsidTr="00E62E41">
        <w:tc>
          <w:tcPr>
            <w:tcW w:w="8532" w:type="dxa"/>
            <w:tcBorders>
              <w:top w:val="single" w:sz="4" w:space="0" w:color="auto"/>
              <w:left w:val="single" w:sz="4" w:space="0" w:color="auto"/>
              <w:bottom w:val="single" w:sz="4" w:space="0" w:color="auto"/>
              <w:right w:val="single" w:sz="4" w:space="0" w:color="auto"/>
            </w:tcBorders>
          </w:tcPr>
          <w:p w:rsidR="00BC3900" w:rsidRDefault="00BC3900" w:rsidP="006F7FD3">
            <w:pPr>
              <w:widowControl/>
              <w:ind w:firstLineChars="200" w:firstLine="640"/>
              <w:rPr>
                <w:rFonts w:ascii="仿宋_GB2312" w:eastAsia="仿宋_GB2312" w:cs="仿宋_GB2312"/>
                <w:bCs/>
                <w:color w:val="000000"/>
                <w:kern w:val="0"/>
                <w:sz w:val="32"/>
                <w:szCs w:val="32"/>
              </w:rPr>
            </w:pPr>
            <w:r>
              <w:rPr>
                <w:rFonts w:ascii="仿宋_GB2312" w:eastAsia="仿宋_GB2312" w:cs="仿宋_GB2312" w:hint="eastAsia"/>
                <w:bCs/>
                <w:color w:val="000000"/>
                <w:kern w:val="0"/>
                <w:sz w:val="32"/>
                <w:szCs w:val="32"/>
              </w:rPr>
              <w:t>“两岸金融中心”片区位于厦门本岛东部，横跨思明、湖里2个行政区。到2025年，片区开发建设将基本完成，呈现较为完备的空间布局：</w:t>
            </w:r>
          </w:p>
          <w:p w:rsidR="00BC3900" w:rsidRDefault="00BC3900" w:rsidP="006F7FD3">
            <w:pPr>
              <w:widowControl/>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1.五通金融核心区，</w:t>
            </w:r>
            <w:r>
              <w:rPr>
                <w:rFonts w:ascii="仿宋_GB2312" w:eastAsia="仿宋_GB2312" w:cs="仿宋_GB2312" w:hint="eastAsia"/>
                <w:bCs/>
                <w:color w:val="000000"/>
                <w:kern w:val="0"/>
                <w:sz w:val="32"/>
                <w:szCs w:val="32"/>
              </w:rPr>
              <w:t>规划用地3.11平方公里，其中核心启动区规划用地0.825平方公里。重点引进大型金融机构、</w:t>
            </w:r>
            <w:r>
              <w:rPr>
                <w:rFonts w:ascii="仿宋_GB2312" w:eastAsia="仿宋_GB2312" w:cs="仿宋_GB2312" w:hint="eastAsia"/>
                <w:bCs/>
                <w:color w:val="000000"/>
                <w:kern w:val="0"/>
                <w:sz w:val="32"/>
                <w:szCs w:val="32"/>
              </w:rPr>
              <w:lastRenderedPageBreak/>
              <w:t>世界500强、中国500强企业落户建设总部大楼，建成“厦门之眼”等文化艺术地标建筑，配套国际高端酒店项目，贯穿城市轨道交通及机场快速路，成为城市的“金融会客厅”。</w:t>
            </w:r>
          </w:p>
          <w:p w:rsidR="00BC3900" w:rsidRDefault="00BC3900" w:rsidP="006F7FD3">
            <w:pPr>
              <w:widowControl/>
              <w:ind w:firstLineChars="200" w:firstLine="643"/>
              <w:rPr>
                <w:rFonts w:ascii="仿宋_GB2312" w:eastAsia="仿宋_GB2312" w:cs="仿宋_GB2312"/>
                <w:bCs/>
                <w:color w:val="FF0000"/>
                <w:kern w:val="0"/>
                <w:sz w:val="32"/>
                <w:szCs w:val="32"/>
              </w:rPr>
            </w:pPr>
            <w:r>
              <w:rPr>
                <w:rFonts w:ascii="仿宋_GB2312" w:eastAsia="仿宋_GB2312" w:cs="仿宋_GB2312" w:hint="eastAsia"/>
                <w:b/>
                <w:bCs/>
                <w:kern w:val="0"/>
                <w:sz w:val="32"/>
                <w:szCs w:val="32"/>
              </w:rPr>
              <w:t>2.前埔会展片区</w:t>
            </w:r>
            <w:r>
              <w:rPr>
                <w:rFonts w:ascii="仿宋_GB2312" w:eastAsia="仿宋_GB2312" w:cs="仿宋_GB2312" w:hint="eastAsia"/>
                <w:bCs/>
                <w:kern w:val="0"/>
                <w:sz w:val="32"/>
                <w:szCs w:val="32"/>
              </w:rPr>
              <w:t>规划用地2.68平方公里，建成金融监管、金融培训功能区，布局高端商业楼宇和大型会展中心、会议酒店，吸引金融行业组织、人才智库及研究培训机构等入驻。</w:t>
            </w:r>
          </w:p>
        </w:tc>
      </w:tr>
    </w:tbl>
    <w:p w:rsidR="00BC3900" w:rsidRDefault="00BC3900" w:rsidP="00BC3900">
      <w:pPr>
        <w:widowControl/>
        <w:spacing w:line="600" w:lineRule="exact"/>
        <w:ind w:firstLineChars="200" w:firstLine="643"/>
        <w:rPr>
          <w:rFonts w:ascii="仿宋_GB2312" w:eastAsia="仿宋_GB2312" w:cs="仿宋_GB2312"/>
          <w:color w:val="000000"/>
          <w:kern w:val="0"/>
          <w:sz w:val="32"/>
          <w:szCs w:val="32"/>
        </w:rPr>
      </w:pPr>
      <w:r>
        <w:rPr>
          <w:rFonts w:ascii="仿宋_GB2312" w:eastAsia="仿宋_GB2312" w:cs="仿宋_GB2312" w:hint="eastAsia"/>
          <w:b/>
          <w:bCs/>
          <w:color w:val="000000"/>
          <w:kern w:val="0"/>
          <w:sz w:val="32"/>
          <w:szCs w:val="32"/>
        </w:rPr>
        <w:lastRenderedPageBreak/>
        <w:t>2.加大优质运营服务供给。</w:t>
      </w:r>
      <w:r>
        <w:rPr>
          <w:rFonts w:ascii="仿宋_GB2312" w:eastAsia="仿宋_GB2312" w:cs="仿宋_GB2312" w:hint="eastAsia"/>
          <w:color w:val="000000"/>
          <w:kern w:val="0"/>
          <w:sz w:val="32"/>
          <w:szCs w:val="32"/>
        </w:rPr>
        <w:t xml:space="preserve">完善产业导入、资源整合、公共服务、金融创新引导平台等功能。优化绩效考核管理，建立片区市、区两级政府的财税分配机制，实现片区可持续开发，激发干事创业的积极性。引进知名金融地产运营机构，为集聚区提供运营管理、企业商务服务、高端物业管理、产业数据统计及科技创新创业孵化等综合运营管理服务。推动建立片区智慧运营管理信息平台，对区内办公资源现状分布、经营主体和入驻企业产业结构、经营业态、平方税收以及企业进出变动情况等信息实行动态管理。 </w:t>
      </w:r>
    </w:p>
    <w:p w:rsidR="00BC3900" w:rsidRDefault="00BC3900" w:rsidP="00BC3900">
      <w:pPr>
        <w:widowControl/>
        <w:spacing w:line="600" w:lineRule="exact"/>
        <w:ind w:firstLineChars="200" w:firstLine="640"/>
        <w:rPr>
          <w:rFonts w:ascii="楷体_GB2312" w:eastAsia="楷体_GB2312" w:cs="楷体"/>
          <w:color w:val="000000"/>
          <w:kern w:val="0"/>
          <w:sz w:val="32"/>
          <w:szCs w:val="32"/>
        </w:rPr>
      </w:pPr>
      <w:r>
        <w:rPr>
          <w:rFonts w:ascii="楷体_GB2312" w:eastAsia="楷体_GB2312" w:cs="楷体" w:hint="eastAsia"/>
          <w:color w:val="000000"/>
          <w:kern w:val="0"/>
          <w:sz w:val="32"/>
          <w:szCs w:val="32"/>
        </w:rPr>
        <w:t>（九）加强金融风险防控，营造金融稳定发展环境</w:t>
      </w:r>
    </w:p>
    <w:p w:rsidR="00BC3900" w:rsidRDefault="00BC3900" w:rsidP="00BC3900">
      <w:pPr>
        <w:widowControl/>
        <w:spacing w:line="600" w:lineRule="exact"/>
        <w:ind w:firstLineChars="200" w:firstLine="643"/>
        <w:rPr>
          <w:rFonts w:ascii="仿宋_GB2312" w:eastAsia="仿宋_GB2312" w:cs="仿宋_GB2312"/>
          <w:bCs/>
          <w:color w:val="000000"/>
          <w:kern w:val="0"/>
          <w:sz w:val="32"/>
          <w:szCs w:val="32"/>
        </w:rPr>
      </w:pPr>
      <w:r>
        <w:rPr>
          <w:rFonts w:ascii="仿宋_GB2312" w:eastAsia="仿宋_GB2312" w:cs="仿宋_GB2312" w:hint="eastAsia"/>
          <w:b/>
          <w:bCs/>
          <w:color w:val="000000"/>
          <w:kern w:val="0"/>
          <w:sz w:val="32"/>
          <w:szCs w:val="32"/>
        </w:rPr>
        <w:t>1.加强地方金融法治建设。</w:t>
      </w:r>
      <w:r>
        <w:rPr>
          <w:rFonts w:ascii="仿宋_GB2312" w:eastAsia="仿宋_GB2312" w:cs="仿宋_GB2312" w:hint="eastAsia"/>
          <w:bCs/>
          <w:color w:val="000000"/>
          <w:kern w:val="0"/>
          <w:sz w:val="32"/>
          <w:szCs w:val="32"/>
        </w:rPr>
        <w:t>用好特区立法权，</w:t>
      </w:r>
      <w:r>
        <w:rPr>
          <w:rFonts w:ascii="仿宋_GB2312" w:eastAsia="仿宋_GB2312" w:cs="楷体" w:hint="eastAsia"/>
          <w:color w:val="000000"/>
          <w:kern w:val="0"/>
          <w:sz w:val="32"/>
          <w:szCs w:val="32"/>
        </w:rPr>
        <w:t>加快</w:t>
      </w:r>
      <w:r>
        <w:rPr>
          <w:rFonts w:ascii="仿宋_GB2312" w:eastAsia="仿宋_GB2312" w:cs="仿宋_GB2312" w:hint="eastAsia"/>
          <w:color w:val="000000"/>
          <w:kern w:val="0"/>
          <w:sz w:val="32"/>
          <w:szCs w:val="32"/>
        </w:rPr>
        <w:t>制订出台地方金融监管条例，填补部分地方金融监管法律空白，</w:t>
      </w:r>
      <w:r>
        <w:rPr>
          <w:rFonts w:ascii="仿宋_GB2312" w:eastAsia="仿宋_GB2312" w:hint="eastAsia"/>
          <w:sz w:val="32"/>
          <w:szCs w:val="32"/>
        </w:rPr>
        <w:t>理顺地方金融事权，</w:t>
      </w:r>
      <w:r>
        <w:rPr>
          <w:rFonts w:ascii="仿宋_GB2312" w:eastAsia="仿宋_GB2312" w:cs="仿宋_GB2312" w:hint="eastAsia"/>
          <w:color w:val="000000"/>
          <w:kern w:val="0"/>
          <w:sz w:val="32"/>
          <w:szCs w:val="32"/>
        </w:rPr>
        <w:t>解决地方金融监管授权缺位、手段缺失、有效性不足等问题。强化中央与地方监管部门联动，构建金融联合执法体系。加强金融司法体系建设，</w:t>
      </w:r>
      <w:r>
        <w:rPr>
          <w:rFonts w:ascii="仿宋_GB2312" w:eastAsia="仿宋_GB2312" w:cs="楷体" w:hint="eastAsia"/>
          <w:color w:val="000000"/>
          <w:kern w:val="0"/>
          <w:sz w:val="32"/>
          <w:szCs w:val="32"/>
        </w:rPr>
        <w:t>完善府院常态化</w:t>
      </w:r>
      <w:r>
        <w:rPr>
          <w:rFonts w:ascii="仿宋_GB2312" w:eastAsia="仿宋_GB2312" w:cs="楷体" w:hint="eastAsia"/>
          <w:color w:val="000000"/>
          <w:kern w:val="0"/>
          <w:sz w:val="32"/>
          <w:szCs w:val="32"/>
        </w:rPr>
        <w:lastRenderedPageBreak/>
        <w:t>沟通机制，确保金融案件信息及时共享，</w:t>
      </w:r>
      <w:r>
        <w:rPr>
          <w:rFonts w:ascii="仿宋_GB2312" w:eastAsia="仿宋_GB2312" w:cs="仿宋_GB2312" w:hint="eastAsia"/>
          <w:color w:val="000000"/>
          <w:kern w:val="0"/>
          <w:sz w:val="32"/>
          <w:szCs w:val="32"/>
        </w:rPr>
        <w:t>设立互联网金融法庭，构建适应开放型经济发展的金融司法体制机制，提升金融审判效率和专业化水平。</w:t>
      </w:r>
    </w:p>
    <w:p w:rsidR="00BC3900" w:rsidRDefault="00E867D3" w:rsidP="00BC3900">
      <w:pPr>
        <w:spacing w:line="600" w:lineRule="exact"/>
        <w:ind w:firstLine="640"/>
        <w:rPr>
          <w:rFonts w:ascii="仿宋_GB2312" w:eastAsia="仿宋_GB2312" w:cs="仿宋"/>
          <w:bCs/>
          <w:color w:val="000000"/>
          <w:sz w:val="32"/>
          <w:szCs w:val="32"/>
        </w:rPr>
      </w:pPr>
      <w:r>
        <w:rPr>
          <w:rFonts w:ascii="仿宋_GB2312" w:eastAsia="仿宋_GB2312" w:cs="仿宋_GB2312" w:hint="eastAsia"/>
          <w:b/>
          <w:bCs/>
          <w:color w:val="000000"/>
          <w:kern w:val="0"/>
          <w:sz w:val="32"/>
          <w:szCs w:val="32"/>
        </w:rPr>
        <w:t>2.</w:t>
      </w:r>
      <w:r w:rsidR="00BC3900">
        <w:rPr>
          <w:rFonts w:ascii="仿宋_GB2312" w:eastAsia="仿宋_GB2312" w:cs="仿宋_GB2312" w:hint="eastAsia"/>
          <w:b/>
          <w:bCs/>
          <w:color w:val="000000"/>
          <w:kern w:val="0"/>
          <w:sz w:val="32"/>
          <w:szCs w:val="32"/>
        </w:rPr>
        <w:t>防范化解重点领域风险。</w:t>
      </w:r>
      <w:r w:rsidR="00BC3900">
        <w:rPr>
          <w:rFonts w:ascii="仿宋_GB2312" w:eastAsia="仿宋_GB2312" w:cs="仿宋" w:hint="eastAsia"/>
          <w:bCs/>
          <w:kern w:val="0"/>
          <w:sz w:val="32"/>
          <w:szCs w:val="32"/>
        </w:rPr>
        <w:t>加强企业信贷信用风险、互联网金融及各类交易场所风险、房地产金融风险、影子银行风险、上市公司股权质押风险等重点领域金融风险防控，</w:t>
      </w:r>
      <w:r w:rsidR="00BC3900">
        <w:rPr>
          <w:rFonts w:ascii="仿宋_GB2312" w:eastAsia="仿宋_GB2312" w:cs="仿宋" w:hint="eastAsia"/>
          <w:kern w:val="0"/>
          <w:sz w:val="32"/>
          <w:szCs w:val="32"/>
        </w:rPr>
        <w:t>防范在处置风险过程中产生的次生风险</w:t>
      </w:r>
      <w:r w:rsidR="00BC3900">
        <w:rPr>
          <w:rFonts w:ascii="仿宋_GB2312" w:eastAsia="仿宋_GB2312" w:cs="仿宋" w:hint="eastAsia"/>
          <w:bCs/>
          <w:kern w:val="0"/>
          <w:sz w:val="32"/>
          <w:szCs w:val="32"/>
        </w:rPr>
        <w:t>。严格金融风险源头管理，严把准入关口，坚持金融机构及业务持</w:t>
      </w:r>
      <w:r w:rsidR="00BC3900">
        <w:rPr>
          <w:rFonts w:ascii="仿宋_GB2312" w:eastAsia="仿宋_GB2312" w:cs="仿宋" w:hint="eastAsia"/>
          <w:bCs/>
          <w:color w:val="000000"/>
          <w:sz w:val="32"/>
          <w:szCs w:val="32"/>
        </w:rPr>
        <w:t>牌经营，落实风险防控主体责任。严厉打击无牌照、超范围经营、</w:t>
      </w:r>
      <w:r w:rsidR="00BC3900">
        <w:rPr>
          <w:rFonts w:ascii="仿宋_GB2312" w:eastAsia="仿宋_GB2312" w:cs="楷体" w:hint="eastAsia"/>
          <w:color w:val="000000"/>
          <w:kern w:val="0"/>
          <w:sz w:val="32"/>
          <w:szCs w:val="32"/>
        </w:rPr>
        <w:t>恶意逃废债务、非法集资、非法证券、非法期货、非法网络炒汇、地下钱庄等违法行为，切实维护金融市场秩序和金融稳定。强化公众金融知识宣传教育，增强群众识别和防范能力。</w:t>
      </w:r>
    </w:p>
    <w:p w:rsidR="00BC3900" w:rsidRDefault="00BC3900" w:rsidP="00BC3900">
      <w:pPr>
        <w:widowControl/>
        <w:spacing w:line="600" w:lineRule="exact"/>
        <w:ind w:firstLineChars="200" w:firstLine="643"/>
        <w:rPr>
          <w:rFonts w:ascii="仿宋_GB2312" w:eastAsia="仿宋_GB2312" w:cs="楷体"/>
          <w:kern w:val="0"/>
          <w:sz w:val="32"/>
          <w:szCs w:val="32"/>
        </w:rPr>
      </w:pPr>
      <w:r>
        <w:rPr>
          <w:rFonts w:ascii="仿宋_GB2312" w:eastAsia="仿宋_GB2312" w:cs="仿宋_GB2312" w:hint="eastAsia"/>
          <w:b/>
          <w:bCs/>
          <w:kern w:val="0"/>
          <w:sz w:val="32"/>
          <w:szCs w:val="32"/>
        </w:rPr>
        <w:t>3.丰富金融监管技术手段。</w:t>
      </w:r>
      <w:r>
        <w:rPr>
          <w:rFonts w:ascii="仿宋_GB2312" w:eastAsia="仿宋_GB2312" w:cs="仿宋_GB2312" w:hint="eastAsia"/>
          <w:bCs/>
          <w:kern w:val="0"/>
          <w:sz w:val="32"/>
          <w:szCs w:val="32"/>
        </w:rPr>
        <w:t>完善金融风险预警系统功能</w:t>
      </w:r>
      <w:r>
        <w:rPr>
          <w:rFonts w:ascii="仿宋_GB2312" w:eastAsia="仿宋_GB2312" w:cs="楷体" w:hint="eastAsia"/>
          <w:kern w:val="0"/>
          <w:sz w:val="32"/>
          <w:szCs w:val="32"/>
        </w:rPr>
        <w:t>，实现苗头性、趋势性风险及时预警，助力对金融风险事件打早打小。制定完善突发性风险应急处置预案，建立健全恢复与处置计划制定，明确对问题机构接管、管理、撤销、破产处置程序和机制，推动实现问题机构有序退出。建立地方金融非现场监管系统，尝试利用金融科技赋能金融监管，优化提升监管能力。</w:t>
      </w:r>
      <w:r>
        <w:rPr>
          <w:rFonts w:ascii="仿宋_GB2312" w:eastAsia="仿宋_GB2312" w:cs="仿宋" w:hint="eastAsia"/>
          <w:kern w:val="0"/>
          <w:sz w:val="32"/>
          <w:szCs w:val="32"/>
          <w:lang w:val="zh-CN"/>
        </w:rPr>
        <w:t>构建包括法律约束、行政监管、行业自律、机构内控、社会监督五位一体的金融监管体系，</w:t>
      </w:r>
      <w:r>
        <w:rPr>
          <w:rFonts w:ascii="仿宋_GB2312" w:eastAsia="仿宋_GB2312" w:cs="楷体" w:hint="eastAsia"/>
          <w:kern w:val="0"/>
          <w:sz w:val="32"/>
          <w:szCs w:val="32"/>
        </w:rPr>
        <w:t>充分调动和发挥好行业协会在维护金融市场秩序和防范化解金融风险中的重要作用。加强反洗钱和反恐怖融资工作，探索建立特定非金融机构、金融新业态反洗钱和反恐怖融资监管制度。</w:t>
      </w:r>
    </w:p>
    <w:p w:rsidR="00BC3900" w:rsidRDefault="00BC3900" w:rsidP="00BC3900">
      <w:pPr>
        <w:spacing w:line="600" w:lineRule="exact"/>
        <w:ind w:firstLineChars="200" w:firstLine="640"/>
        <w:rPr>
          <w:rFonts w:ascii="黑体" w:eastAsia="黑体" w:cs="黑体"/>
          <w:sz w:val="32"/>
          <w:szCs w:val="32"/>
        </w:rPr>
      </w:pPr>
      <w:r>
        <w:rPr>
          <w:rFonts w:ascii="黑体" w:eastAsia="黑体" w:cs="黑体" w:hint="eastAsia"/>
          <w:sz w:val="32"/>
          <w:szCs w:val="32"/>
        </w:rPr>
        <w:lastRenderedPageBreak/>
        <w:t>五、保障措施</w:t>
      </w:r>
      <w:bookmarkStart w:id="10" w:name="_Toc14453372"/>
      <w:bookmarkStart w:id="11" w:name="_Toc14854991"/>
      <w:bookmarkStart w:id="12" w:name="_Toc14858948"/>
    </w:p>
    <w:p w:rsidR="00BC3900" w:rsidRDefault="00BC3900" w:rsidP="00BC3900">
      <w:pPr>
        <w:spacing w:line="600" w:lineRule="exact"/>
        <w:ind w:firstLineChars="200" w:firstLine="640"/>
        <w:rPr>
          <w:rFonts w:ascii="仿宋_GB2312" w:eastAsia="仿宋_GB2312" w:cs="仿宋_GB2312"/>
          <w:color w:val="000000"/>
          <w:kern w:val="0"/>
          <w:sz w:val="32"/>
          <w:szCs w:val="32"/>
        </w:rPr>
      </w:pPr>
      <w:r>
        <w:rPr>
          <w:rFonts w:ascii="楷体_GB2312" w:eastAsia="楷体_GB2312" w:cs="楷体" w:hint="eastAsia"/>
          <w:color w:val="000000"/>
          <w:kern w:val="0"/>
          <w:sz w:val="32"/>
          <w:szCs w:val="32"/>
        </w:rPr>
        <w:t>（一）加强金融工作组织领导</w:t>
      </w:r>
      <w:bookmarkEnd w:id="10"/>
      <w:bookmarkEnd w:id="11"/>
      <w:bookmarkEnd w:id="12"/>
      <w:r>
        <w:rPr>
          <w:rFonts w:ascii="楷体_GB2312" w:eastAsia="楷体_GB2312" w:cs="楷体" w:hint="eastAsia"/>
          <w:color w:val="000000"/>
          <w:kern w:val="0"/>
          <w:sz w:val="32"/>
          <w:szCs w:val="32"/>
        </w:rPr>
        <w:t>。</w:t>
      </w:r>
      <w:r>
        <w:rPr>
          <w:rFonts w:ascii="仿宋_GB2312" w:eastAsia="仿宋_GB2312" w:hint="eastAsia"/>
          <w:sz w:val="32"/>
          <w:szCs w:val="32"/>
        </w:rPr>
        <w:t>加强市金融工作领导小组的统一领导，加强对规划实施的总体指导和统筹推进，及时解决规划实施中的重大问题，确保各项目标、行动落实到位。发挥各金融监管部门对金融行业的管理服务作用，强化沟通协调，充分调动金融机构的积极性。</w:t>
      </w:r>
      <w:r>
        <w:rPr>
          <w:rFonts w:ascii="仿宋_GB2312" w:eastAsia="仿宋_GB2312" w:cs="仿宋_GB2312" w:hint="eastAsia"/>
          <w:color w:val="000000"/>
          <w:kern w:val="0"/>
          <w:sz w:val="32"/>
          <w:szCs w:val="32"/>
        </w:rPr>
        <w:t>构建“政银企”合作常态机制、重大项目绿色通道机制，提升政府服务效率，持续优化投资发展环境，不断降低制度性交易成本，激发市场主体活力。加强市、区两级地方金融监管机构和编制配备，提升服务和监管能力。成立厦门市金融咨询顾问委员会</w:t>
      </w:r>
      <w:r>
        <w:rPr>
          <w:rFonts w:ascii="仿宋_GB2312" w:eastAsia="仿宋_GB2312" w:cs="仿宋" w:hint="eastAsia"/>
          <w:color w:val="000000"/>
          <w:sz w:val="32"/>
          <w:szCs w:val="32"/>
          <w:lang w:val="zh-CN"/>
        </w:rPr>
        <w:t>，</w:t>
      </w:r>
      <w:r>
        <w:rPr>
          <w:rFonts w:ascii="仿宋_GB2312" w:eastAsia="仿宋_GB2312" w:cs="仿宋" w:hint="eastAsia"/>
          <w:color w:val="000000"/>
          <w:sz w:val="32"/>
          <w:szCs w:val="32"/>
        </w:rPr>
        <w:t>为市委市政府决策提供专业参考。</w:t>
      </w:r>
    </w:p>
    <w:p w:rsidR="00BC3900" w:rsidRDefault="00BC3900" w:rsidP="00BC3900">
      <w:pPr>
        <w:widowControl/>
        <w:spacing w:line="600" w:lineRule="exact"/>
        <w:ind w:firstLineChars="200" w:firstLine="640"/>
        <w:rPr>
          <w:rFonts w:ascii="仿宋_GB2312" w:eastAsia="仿宋_GB2312"/>
          <w:sz w:val="32"/>
          <w:szCs w:val="32"/>
        </w:rPr>
      </w:pPr>
      <w:bookmarkStart w:id="13" w:name="_Toc14854992"/>
      <w:bookmarkStart w:id="14" w:name="_Toc14453373"/>
      <w:bookmarkStart w:id="15" w:name="_Toc14858949"/>
      <w:r>
        <w:rPr>
          <w:rFonts w:ascii="楷体_GB2312" w:eastAsia="楷体_GB2312" w:cs="楷体" w:hint="eastAsia"/>
          <w:color w:val="000000"/>
          <w:kern w:val="0"/>
          <w:sz w:val="32"/>
          <w:szCs w:val="32"/>
        </w:rPr>
        <w:t>（二）强化政策配套</w:t>
      </w:r>
      <w:bookmarkEnd w:id="13"/>
      <w:bookmarkEnd w:id="14"/>
      <w:bookmarkEnd w:id="15"/>
      <w:r>
        <w:rPr>
          <w:rFonts w:ascii="楷体_GB2312" w:eastAsia="楷体_GB2312" w:cs="楷体" w:hint="eastAsia"/>
          <w:color w:val="000000"/>
          <w:kern w:val="0"/>
          <w:sz w:val="32"/>
          <w:szCs w:val="32"/>
        </w:rPr>
        <w:t>支持</w:t>
      </w:r>
      <w:r>
        <w:rPr>
          <w:rFonts w:ascii="楷体_GB2312" w:eastAsia="楷体_GB2312" w:cs="仿宋_GB2312" w:hint="eastAsia"/>
          <w:color w:val="000000"/>
          <w:kern w:val="0"/>
          <w:sz w:val="32"/>
          <w:szCs w:val="32"/>
        </w:rPr>
        <w:t>。</w:t>
      </w:r>
      <w:r>
        <w:rPr>
          <w:rFonts w:ascii="仿宋_GB2312" w:eastAsia="仿宋_GB2312" w:cs="宋体" w:hint="eastAsia"/>
          <w:bCs/>
          <w:kern w:val="0"/>
          <w:sz w:val="32"/>
          <w:szCs w:val="32"/>
        </w:rPr>
        <w:t>以国家金融方针、政策和法律法规为依据，进一步完善金融产业扶持政策，</w:t>
      </w:r>
      <w:r>
        <w:rPr>
          <w:rFonts w:ascii="仿宋_GB2312" w:eastAsia="仿宋_GB2312" w:hint="eastAsia"/>
          <w:sz w:val="32"/>
          <w:szCs w:val="32"/>
        </w:rPr>
        <w:t>优化政策扶持方式，实现精准施策。</w:t>
      </w:r>
      <w:bookmarkStart w:id="16" w:name="_Toc14854993"/>
      <w:bookmarkStart w:id="17" w:name="_Toc14453374"/>
      <w:bookmarkStart w:id="18" w:name="_Toc14858950"/>
      <w:r>
        <w:rPr>
          <w:rFonts w:ascii="仿宋_GB2312" w:eastAsia="仿宋_GB2312" w:hint="eastAsia"/>
          <w:sz w:val="32"/>
          <w:szCs w:val="32"/>
        </w:rPr>
        <w:t>安排金融发展专项资金，为金融机构和金融人才引进、重大金融会议论坛举办、金融创新发展、重大金融研究项目给予资金支持。发挥财政资金杠杆作用，向市场提供信用增信、成本补贴、风险补偿、应急周转等金融政策工具，实现资金在金融与实体经济间的良性循环。</w:t>
      </w:r>
    </w:p>
    <w:p w:rsidR="00BC3900" w:rsidRDefault="00BC3900" w:rsidP="00BC3900">
      <w:pPr>
        <w:widowControl/>
        <w:spacing w:line="600" w:lineRule="exact"/>
        <w:ind w:firstLineChars="200" w:firstLine="640"/>
        <w:rPr>
          <w:rFonts w:ascii="仿宋_GB2312" w:eastAsia="仿宋_GB2312" w:cs="仿宋_GB2312"/>
          <w:color w:val="000000"/>
          <w:kern w:val="0"/>
          <w:sz w:val="32"/>
          <w:szCs w:val="32"/>
        </w:rPr>
      </w:pPr>
      <w:r>
        <w:rPr>
          <w:rFonts w:ascii="楷体_GB2312" w:eastAsia="楷体_GB2312" w:cs="楷体" w:hint="eastAsia"/>
          <w:color w:val="000000"/>
          <w:kern w:val="0"/>
          <w:sz w:val="32"/>
          <w:szCs w:val="32"/>
        </w:rPr>
        <w:t>（三）</w:t>
      </w:r>
      <w:bookmarkStart w:id="19" w:name="_Toc14858951"/>
      <w:bookmarkStart w:id="20" w:name="_Toc14854994"/>
      <w:bookmarkStart w:id="21" w:name="_Toc14453375"/>
      <w:bookmarkEnd w:id="16"/>
      <w:bookmarkEnd w:id="17"/>
      <w:bookmarkEnd w:id="18"/>
      <w:r>
        <w:rPr>
          <w:rFonts w:ascii="楷体_GB2312" w:eastAsia="楷体_GB2312" w:cs="楷体" w:hint="eastAsia"/>
          <w:color w:val="000000"/>
          <w:kern w:val="0"/>
          <w:sz w:val="32"/>
          <w:szCs w:val="32"/>
        </w:rPr>
        <w:t>优化金融人才保障。</w:t>
      </w:r>
      <w:r>
        <w:rPr>
          <w:rFonts w:ascii="仿宋_GB2312" w:eastAsia="仿宋_GB2312" w:cs="仿宋_GB2312" w:hint="eastAsia"/>
          <w:color w:val="000000"/>
          <w:kern w:val="0"/>
          <w:sz w:val="32"/>
          <w:szCs w:val="32"/>
        </w:rPr>
        <w:t>树立“人才是第一资源”理念，加大引进高层次金融人才工作力度，在住房落户、税收优惠、医疗保障、子女入学、出入境管理等方面给予扶持。依托本外地知名高校师资力量，引进台湾金融人才研训经验做法，推进金融特色学科建设、专业资格认证和专业人才联</w:t>
      </w:r>
      <w:r>
        <w:rPr>
          <w:rFonts w:ascii="仿宋_GB2312" w:eastAsia="仿宋_GB2312" w:cs="仿宋_GB2312" w:hint="eastAsia"/>
          <w:color w:val="000000"/>
          <w:kern w:val="0"/>
          <w:sz w:val="32"/>
          <w:szCs w:val="32"/>
        </w:rPr>
        <w:lastRenderedPageBreak/>
        <w:t>合培养。鼓励金融机构设立博士后工作站、实习实践基地，创新金融人才培养模式。支持本土金融人才加强学习深造，选派金融业务骨干赴境内外金融中心城市交流培训。加强与国际华人华侨金融人才联络，引进闽籍金融人才回乡创业就业提供优质条件。</w:t>
      </w:r>
    </w:p>
    <w:p w:rsidR="00BC3900" w:rsidRDefault="00BC3900" w:rsidP="00BC3900">
      <w:pPr>
        <w:widowControl/>
        <w:spacing w:line="600" w:lineRule="exact"/>
        <w:ind w:firstLineChars="200" w:firstLine="640"/>
        <w:rPr>
          <w:rFonts w:ascii="仿宋_GB2312" w:eastAsia="仿宋_GB2312"/>
          <w:sz w:val="32"/>
          <w:szCs w:val="32"/>
        </w:rPr>
      </w:pPr>
      <w:bookmarkStart w:id="22" w:name="_Toc14858955"/>
      <w:bookmarkStart w:id="23" w:name="_Toc14854998"/>
      <w:bookmarkStart w:id="24" w:name="_Toc14453376"/>
      <w:bookmarkEnd w:id="19"/>
      <w:bookmarkEnd w:id="20"/>
      <w:bookmarkEnd w:id="21"/>
      <w:r>
        <w:rPr>
          <w:rFonts w:ascii="楷体_GB2312" w:eastAsia="楷体_GB2312" w:cs="楷体" w:hint="eastAsia"/>
          <w:color w:val="000000"/>
          <w:kern w:val="0"/>
          <w:sz w:val="32"/>
          <w:szCs w:val="32"/>
        </w:rPr>
        <w:t>（四）加大宣传推广</w:t>
      </w:r>
      <w:bookmarkEnd w:id="22"/>
      <w:bookmarkEnd w:id="23"/>
      <w:bookmarkEnd w:id="24"/>
      <w:r>
        <w:rPr>
          <w:rFonts w:ascii="楷体_GB2312" w:eastAsia="楷体_GB2312" w:cs="楷体" w:hint="eastAsia"/>
          <w:color w:val="000000"/>
          <w:kern w:val="0"/>
          <w:sz w:val="32"/>
          <w:szCs w:val="32"/>
        </w:rPr>
        <w:t>力度。</w:t>
      </w:r>
      <w:r>
        <w:rPr>
          <w:rFonts w:ascii="仿宋_GB2312" w:eastAsia="仿宋_GB2312" w:hint="eastAsia"/>
          <w:sz w:val="32"/>
          <w:szCs w:val="32"/>
        </w:rPr>
        <w:t>坚持办好海峡金融论坛等特色金融展会，大力提升厦门金融业国际知名度和影响力，培育具有厦门地区特色的金融文化。构建金融宣传推广体系和长效机制，加强现代金融文化宣传力度，培养公众现代金融意识和风险管理理念。促进厦门与境内外金融中心城市、台湾、“一带一路”国家的金融交往，定期进行交流互访，加强与国际金融组织、跨国金融企业集团沟通联络，打造我国金融对外合作交流的重要窗口。</w:t>
      </w:r>
    </w:p>
    <w:p w:rsidR="00BC3900" w:rsidRDefault="00BC3900" w:rsidP="00BC3900">
      <w:pPr>
        <w:widowControl/>
        <w:spacing w:line="600" w:lineRule="exact"/>
        <w:ind w:firstLineChars="200" w:firstLine="640"/>
        <w:rPr>
          <w:rFonts w:ascii="仿宋_GB2312" w:eastAsia="仿宋_GB2312"/>
          <w:kern w:val="0"/>
          <w:sz w:val="32"/>
          <w:szCs w:val="32"/>
        </w:rPr>
      </w:pPr>
      <w:r>
        <w:rPr>
          <w:rFonts w:ascii="楷体_GB2312" w:eastAsia="楷体_GB2312" w:cs="楷体" w:hint="eastAsia"/>
          <w:color w:val="000000"/>
          <w:kern w:val="0"/>
          <w:sz w:val="32"/>
          <w:szCs w:val="32"/>
        </w:rPr>
        <w:t>（五）建立完善规划评估机制。</w:t>
      </w:r>
      <w:r>
        <w:rPr>
          <w:rFonts w:ascii="仿宋_GB2312" w:eastAsia="仿宋_GB2312" w:hint="eastAsia"/>
          <w:sz w:val="32"/>
          <w:szCs w:val="32"/>
        </w:rPr>
        <w:t>建立对规划实施情况的跟踪监测、检查和评估制度，根据国家宏观经济金融形势，适时调整相关政策方向力度，确保规划</w:t>
      </w:r>
      <w:r w:rsidR="00E867D3">
        <w:rPr>
          <w:rFonts w:ascii="仿宋_GB2312" w:eastAsia="仿宋_GB2312" w:hint="eastAsia"/>
          <w:sz w:val="32"/>
          <w:szCs w:val="32"/>
        </w:rPr>
        <w:t>目标</w:t>
      </w:r>
      <w:r>
        <w:rPr>
          <w:rFonts w:ascii="仿宋_GB2312" w:eastAsia="仿宋_GB2312" w:hint="eastAsia"/>
          <w:sz w:val="32"/>
          <w:szCs w:val="32"/>
        </w:rPr>
        <w:t>的顺利实现。对规划执行中出现的新情况、新问题，及时采取应对措施。加强规划实施情况的信息披露，鼓励公众参与监督，切实推进规划实施。</w:t>
      </w:r>
    </w:p>
    <w:p w:rsidR="00BC3900" w:rsidRDefault="00BC3900" w:rsidP="00BC3900">
      <w:pPr>
        <w:spacing w:line="620" w:lineRule="exact"/>
        <w:rPr>
          <w:rFonts w:ascii="仿宋_GB2312" w:eastAsia="仿宋_GB2312" w:cs="仿宋_GB2312"/>
          <w:sz w:val="32"/>
          <w:szCs w:val="32"/>
        </w:rPr>
      </w:pPr>
    </w:p>
    <w:p w:rsidR="00BC3900" w:rsidRPr="006036EA" w:rsidRDefault="00BC3900" w:rsidP="00BC3900"/>
    <w:p w:rsidR="00F4237C" w:rsidRPr="00BC3900" w:rsidRDefault="00F4237C"/>
    <w:sectPr w:rsidR="00F4237C" w:rsidRPr="00BC3900" w:rsidSect="00F07600">
      <w:footerReference w:type="even" r:id="rId10"/>
      <w:footerReference w:type="default" r:id="rId11"/>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496" w:rsidRDefault="00092496" w:rsidP="00B42AE4">
      <w:r>
        <w:separator/>
      </w:r>
    </w:p>
  </w:endnote>
  <w:endnote w:type="continuationSeparator" w:id="1">
    <w:p w:rsidR="00092496" w:rsidRDefault="00092496" w:rsidP="00B42A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EA" w:rsidRDefault="00B42AE4" w:rsidP="006036EA">
    <w:pPr>
      <w:pStyle w:val="a3"/>
      <w:framePr w:wrap="around" w:vAnchor="text" w:hAnchor="margin" w:xAlign="center" w:y="1"/>
      <w:rPr>
        <w:rStyle w:val="a4"/>
      </w:rPr>
    </w:pPr>
    <w:r>
      <w:rPr>
        <w:rStyle w:val="a4"/>
      </w:rPr>
      <w:fldChar w:fldCharType="begin"/>
    </w:r>
    <w:r w:rsidR="00E62E41">
      <w:rPr>
        <w:rStyle w:val="a4"/>
      </w:rPr>
      <w:instrText xml:space="preserve">PAGE  </w:instrText>
    </w:r>
    <w:r>
      <w:rPr>
        <w:rStyle w:val="a4"/>
      </w:rPr>
      <w:fldChar w:fldCharType="end"/>
    </w:r>
  </w:p>
  <w:p w:rsidR="006036EA" w:rsidRDefault="0009249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6EA" w:rsidRDefault="00B42AE4" w:rsidP="006036EA">
    <w:pPr>
      <w:pStyle w:val="a3"/>
      <w:framePr w:wrap="around" w:vAnchor="text" w:hAnchor="margin" w:xAlign="center" w:y="1"/>
      <w:rPr>
        <w:rStyle w:val="a4"/>
      </w:rPr>
    </w:pPr>
    <w:r>
      <w:rPr>
        <w:rStyle w:val="a4"/>
      </w:rPr>
      <w:fldChar w:fldCharType="begin"/>
    </w:r>
    <w:r w:rsidR="00E62E41">
      <w:rPr>
        <w:rStyle w:val="a4"/>
      </w:rPr>
      <w:instrText xml:space="preserve">PAGE  </w:instrText>
    </w:r>
    <w:r>
      <w:rPr>
        <w:rStyle w:val="a4"/>
      </w:rPr>
      <w:fldChar w:fldCharType="separate"/>
    </w:r>
    <w:r w:rsidR="00E867D3">
      <w:rPr>
        <w:rStyle w:val="a4"/>
        <w:noProof/>
      </w:rPr>
      <w:t>37</w:t>
    </w:r>
    <w:r>
      <w:rPr>
        <w:rStyle w:val="a4"/>
      </w:rPr>
      <w:fldChar w:fldCharType="end"/>
    </w:r>
  </w:p>
  <w:p w:rsidR="006036EA" w:rsidRDefault="0009249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496" w:rsidRDefault="00092496" w:rsidP="00B42AE4">
      <w:r>
        <w:separator/>
      </w:r>
    </w:p>
  </w:footnote>
  <w:footnote w:type="continuationSeparator" w:id="1">
    <w:p w:rsidR="00092496" w:rsidRDefault="00092496" w:rsidP="00B42A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3900"/>
    <w:rsid w:val="00001686"/>
    <w:rsid w:val="00001939"/>
    <w:rsid w:val="00003816"/>
    <w:rsid w:val="0000464F"/>
    <w:rsid w:val="00005771"/>
    <w:rsid w:val="00005852"/>
    <w:rsid w:val="00005EE0"/>
    <w:rsid w:val="00006B8E"/>
    <w:rsid w:val="00007465"/>
    <w:rsid w:val="00007E88"/>
    <w:rsid w:val="000107F3"/>
    <w:rsid w:val="00010D29"/>
    <w:rsid w:val="0001145D"/>
    <w:rsid w:val="0001308D"/>
    <w:rsid w:val="000152E3"/>
    <w:rsid w:val="000154F9"/>
    <w:rsid w:val="00015C52"/>
    <w:rsid w:val="0001609B"/>
    <w:rsid w:val="0001612E"/>
    <w:rsid w:val="000176A5"/>
    <w:rsid w:val="00017D6A"/>
    <w:rsid w:val="0002026E"/>
    <w:rsid w:val="000223B1"/>
    <w:rsid w:val="00022702"/>
    <w:rsid w:val="00024318"/>
    <w:rsid w:val="000243C8"/>
    <w:rsid w:val="000303F3"/>
    <w:rsid w:val="00032203"/>
    <w:rsid w:val="00032DEE"/>
    <w:rsid w:val="00032EDA"/>
    <w:rsid w:val="0003397D"/>
    <w:rsid w:val="00033C79"/>
    <w:rsid w:val="0003447F"/>
    <w:rsid w:val="00034A75"/>
    <w:rsid w:val="000363DD"/>
    <w:rsid w:val="000408A0"/>
    <w:rsid w:val="0004129D"/>
    <w:rsid w:val="00041C5D"/>
    <w:rsid w:val="00041E0A"/>
    <w:rsid w:val="00042772"/>
    <w:rsid w:val="0004429F"/>
    <w:rsid w:val="00044593"/>
    <w:rsid w:val="0004463A"/>
    <w:rsid w:val="000447E9"/>
    <w:rsid w:val="000452FF"/>
    <w:rsid w:val="00045F33"/>
    <w:rsid w:val="000476BF"/>
    <w:rsid w:val="00047936"/>
    <w:rsid w:val="00047F9A"/>
    <w:rsid w:val="000500B9"/>
    <w:rsid w:val="000506A3"/>
    <w:rsid w:val="000507D3"/>
    <w:rsid w:val="00050F7E"/>
    <w:rsid w:val="00051490"/>
    <w:rsid w:val="00051B29"/>
    <w:rsid w:val="0005297F"/>
    <w:rsid w:val="0005300C"/>
    <w:rsid w:val="0005397D"/>
    <w:rsid w:val="00053A9C"/>
    <w:rsid w:val="000544CC"/>
    <w:rsid w:val="00054EDA"/>
    <w:rsid w:val="00056191"/>
    <w:rsid w:val="000568D5"/>
    <w:rsid w:val="00056904"/>
    <w:rsid w:val="00056913"/>
    <w:rsid w:val="000579AB"/>
    <w:rsid w:val="000603A2"/>
    <w:rsid w:val="000613C8"/>
    <w:rsid w:val="00061B77"/>
    <w:rsid w:val="00062F58"/>
    <w:rsid w:val="00064067"/>
    <w:rsid w:val="000643BA"/>
    <w:rsid w:val="000650DA"/>
    <w:rsid w:val="000654E3"/>
    <w:rsid w:val="000663C2"/>
    <w:rsid w:val="000668D9"/>
    <w:rsid w:val="0006699F"/>
    <w:rsid w:val="00066C40"/>
    <w:rsid w:val="00067B38"/>
    <w:rsid w:val="00071088"/>
    <w:rsid w:val="00073DCB"/>
    <w:rsid w:val="00074933"/>
    <w:rsid w:val="00074D17"/>
    <w:rsid w:val="00075368"/>
    <w:rsid w:val="000760AC"/>
    <w:rsid w:val="0007639C"/>
    <w:rsid w:val="000811A9"/>
    <w:rsid w:val="000814E5"/>
    <w:rsid w:val="0008284F"/>
    <w:rsid w:val="00082C6C"/>
    <w:rsid w:val="00083B88"/>
    <w:rsid w:val="00085B0D"/>
    <w:rsid w:val="00086A99"/>
    <w:rsid w:val="00087343"/>
    <w:rsid w:val="000910D1"/>
    <w:rsid w:val="0009160D"/>
    <w:rsid w:val="00091AE4"/>
    <w:rsid w:val="000920D5"/>
    <w:rsid w:val="00092496"/>
    <w:rsid w:val="000928FA"/>
    <w:rsid w:val="000936FE"/>
    <w:rsid w:val="000940D4"/>
    <w:rsid w:val="000966B2"/>
    <w:rsid w:val="0009725C"/>
    <w:rsid w:val="00097917"/>
    <w:rsid w:val="000A0DBC"/>
    <w:rsid w:val="000A2CD3"/>
    <w:rsid w:val="000A3A93"/>
    <w:rsid w:val="000A4238"/>
    <w:rsid w:val="000A4604"/>
    <w:rsid w:val="000A5F7D"/>
    <w:rsid w:val="000A6359"/>
    <w:rsid w:val="000A7B3C"/>
    <w:rsid w:val="000B0522"/>
    <w:rsid w:val="000B165B"/>
    <w:rsid w:val="000B1F87"/>
    <w:rsid w:val="000B20A1"/>
    <w:rsid w:val="000B30CD"/>
    <w:rsid w:val="000B5A1D"/>
    <w:rsid w:val="000B650E"/>
    <w:rsid w:val="000B6866"/>
    <w:rsid w:val="000B6B36"/>
    <w:rsid w:val="000C0A27"/>
    <w:rsid w:val="000C1382"/>
    <w:rsid w:val="000C15E4"/>
    <w:rsid w:val="000C2802"/>
    <w:rsid w:val="000C2E15"/>
    <w:rsid w:val="000C3383"/>
    <w:rsid w:val="000C3984"/>
    <w:rsid w:val="000C54F9"/>
    <w:rsid w:val="000C65C1"/>
    <w:rsid w:val="000D0460"/>
    <w:rsid w:val="000D0834"/>
    <w:rsid w:val="000D1EED"/>
    <w:rsid w:val="000D3017"/>
    <w:rsid w:val="000D3DE9"/>
    <w:rsid w:val="000D57B0"/>
    <w:rsid w:val="000D5822"/>
    <w:rsid w:val="000D5B87"/>
    <w:rsid w:val="000D5D24"/>
    <w:rsid w:val="000D5E22"/>
    <w:rsid w:val="000D691E"/>
    <w:rsid w:val="000E037B"/>
    <w:rsid w:val="000E0844"/>
    <w:rsid w:val="000E089C"/>
    <w:rsid w:val="000E2D10"/>
    <w:rsid w:val="000E393C"/>
    <w:rsid w:val="000E3AC5"/>
    <w:rsid w:val="000E49F3"/>
    <w:rsid w:val="000E4D86"/>
    <w:rsid w:val="000E5DD9"/>
    <w:rsid w:val="000E6FCC"/>
    <w:rsid w:val="000E7EB4"/>
    <w:rsid w:val="000F0593"/>
    <w:rsid w:val="000F0824"/>
    <w:rsid w:val="000F1D5C"/>
    <w:rsid w:val="000F2035"/>
    <w:rsid w:val="000F3421"/>
    <w:rsid w:val="000F3DD4"/>
    <w:rsid w:val="000F57F3"/>
    <w:rsid w:val="000F5F44"/>
    <w:rsid w:val="000F7A71"/>
    <w:rsid w:val="000F7ED4"/>
    <w:rsid w:val="00107E42"/>
    <w:rsid w:val="00110A18"/>
    <w:rsid w:val="00111B6B"/>
    <w:rsid w:val="00111BF0"/>
    <w:rsid w:val="00111C71"/>
    <w:rsid w:val="00111CBE"/>
    <w:rsid w:val="00111CE2"/>
    <w:rsid w:val="00111FA5"/>
    <w:rsid w:val="00111FEF"/>
    <w:rsid w:val="00114230"/>
    <w:rsid w:val="00114432"/>
    <w:rsid w:val="00114B5A"/>
    <w:rsid w:val="00114FB1"/>
    <w:rsid w:val="0011536D"/>
    <w:rsid w:val="00115C15"/>
    <w:rsid w:val="001162D0"/>
    <w:rsid w:val="00116B3F"/>
    <w:rsid w:val="00116B73"/>
    <w:rsid w:val="001178D1"/>
    <w:rsid w:val="00120CCE"/>
    <w:rsid w:val="00121A74"/>
    <w:rsid w:val="00121E0C"/>
    <w:rsid w:val="00122C66"/>
    <w:rsid w:val="00122DBD"/>
    <w:rsid w:val="001232C3"/>
    <w:rsid w:val="00125C49"/>
    <w:rsid w:val="00125FAF"/>
    <w:rsid w:val="00126962"/>
    <w:rsid w:val="00126B1A"/>
    <w:rsid w:val="001272B7"/>
    <w:rsid w:val="00127B5E"/>
    <w:rsid w:val="0013145C"/>
    <w:rsid w:val="0013192E"/>
    <w:rsid w:val="00131FFB"/>
    <w:rsid w:val="001346F2"/>
    <w:rsid w:val="00134B72"/>
    <w:rsid w:val="0013733B"/>
    <w:rsid w:val="0014074B"/>
    <w:rsid w:val="001407FE"/>
    <w:rsid w:val="00141009"/>
    <w:rsid w:val="0014436E"/>
    <w:rsid w:val="00144A6F"/>
    <w:rsid w:val="00145354"/>
    <w:rsid w:val="00146840"/>
    <w:rsid w:val="00146F8B"/>
    <w:rsid w:val="00147717"/>
    <w:rsid w:val="00147C7B"/>
    <w:rsid w:val="00147C87"/>
    <w:rsid w:val="00151047"/>
    <w:rsid w:val="00151505"/>
    <w:rsid w:val="0015193B"/>
    <w:rsid w:val="00154370"/>
    <w:rsid w:val="001555D3"/>
    <w:rsid w:val="001578F1"/>
    <w:rsid w:val="00157E16"/>
    <w:rsid w:val="00160E85"/>
    <w:rsid w:val="001613FF"/>
    <w:rsid w:val="0016181E"/>
    <w:rsid w:val="00161820"/>
    <w:rsid w:val="00161E65"/>
    <w:rsid w:val="00164672"/>
    <w:rsid w:val="0016474D"/>
    <w:rsid w:val="001657B1"/>
    <w:rsid w:val="00165F30"/>
    <w:rsid w:val="00166CE5"/>
    <w:rsid w:val="00167942"/>
    <w:rsid w:val="00170617"/>
    <w:rsid w:val="00172771"/>
    <w:rsid w:val="00173AEA"/>
    <w:rsid w:val="0017634F"/>
    <w:rsid w:val="00176687"/>
    <w:rsid w:val="00176B31"/>
    <w:rsid w:val="001806EC"/>
    <w:rsid w:val="00181FFD"/>
    <w:rsid w:val="001825D7"/>
    <w:rsid w:val="0018276F"/>
    <w:rsid w:val="00182BD1"/>
    <w:rsid w:val="00182BEB"/>
    <w:rsid w:val="0018488D"/>
    <w:rsid w:val="00184C11"/>
    <w:rsid w:val="0018571A"/>
    <w:rsid w:val="00190620"/>
    <w:rsid w:val="00190788"/>
    <w:rsid w:val="00190C5D"/>
    <w:rsid w:val="001910AB"/>
    <w:rsid w:val="0019417D"/>
    <w:rsid w:val="0019453B"/>
    <w:rsid w:val="00194AAD"/>
    <w:rsid w:val="00195291"/>
    <w:rsid w:val="00195C70"/>
    <w:rsid w:val="00195E8F"/>
    <w:rsid w:val="001963A6"/>
    <w:rsid w:val="00196E88"/>
    <w:rsid w:val="0019702C"/>
    <w:rsid w:val="001974AB"/>
    <w:rsid w:val="001975DE"/>
    <w:rsid w:val="00197AC9"/>
    <w:rsid w:val="001A2234"/>
    <w:rsid w:val="001A2965"/>
    <w:rsid w:val="001A2CB2"/>
    <w:rsid w:val="001A2D89"/>
    <w:rsid w:val="001A3B5E"/>
    <w:rsid w:val="001A3C11"/>
    <w:rsid w:val="001A517B"/>
    <w:rsid w:val="001A5DBB"/>
    <w:rsid w:val="001A6819"/>
    <w:rsid w:val="001B2000"/>
    <w:rsid w:val="001B2C59"/>
    <w:rsid w:val="001B38FF"/>
    <w:rsid w:val="001B4113"/>
    <w:rsid w:val="001B482B"/>
    <w:rsid w:val="001B4C00"/>
    <w:rsid w:val="001B52F3"/>
    <w:rsid w:val="001B555F"/>
    <w:rsid w:val="001B5B28"/>
    <w:rsid w:val="001B5C4B"/>
    <w:rsid w:val="001B5DDE"/>
    <w:rsid w:val="001B642B"/>
    <w:rsid w:val="001B68C4"/>
    <w:rsid w:val="001C0B9B"/>
    <w:rsid w:val="001C0D8E"/>
    <w:rsid w:val="001C1D13"/>
    <w:rsid w:val="001C1EF0"/>
    <w:rsid w:val="001C2288"/>
    <w:rsid w:val="001C3F48"/>
    <w:rsid w:val="001C3F9F"/>
    <w:rsid w:val="001C4401"/>
    <w:rsid w:val="001C4618"/>
    <w:rsid w:val="001C4A94"/>
    <w:rsid w:val="001C536A"/>
    <w:rsid w:val="001C664E"/>
    <w:rsid w:val="001C7A6F"/>
    <w:rsid w:val="001D1CAE"/>
    <w:rsid w:val="001D2C5A"/>
    <w:rsid w:val="001D3F0B"/>
    <w:rsid w:val="001D4BF2"/>
    <w:rsid w:val="001D519D"/>
    <w:rsid w:val="001D52C8"/>
    <w:rsid w:val="001D5CD8"/>
    <w:rsid w:val="001D5D66"/>
    <w:rsid w:val="001E0A23"/>
    <w:rsid w:val="001E0FCA"/>
    <w:rsid w:val="001E1433"/>
    <w:rsid w:val="001E22AA"/>
    <w:rsid w:val="001E2BB6"/>
    <w:rsid w:val="001E3225"/>
    <w:rsid w:val="001E4138"/>
    <w:rsid w:val="001E4FE0"/>
    <w:rsid w:val="001E50BC"/>
    <w:rsid w:val="001E6EAD"/>
    <w:rsid w:val="001F0C30"/>
    <w:rsid w:val="001F2D5A"/>
    <w:rsid w:val="001F4492"/>
    <w:rsid w:val="001F490D"/>
    <w:rsid w:val="001F59C1"/>
    <w:rsid w:val="001F5A8B"/>
    <w:rsid w:val="001F6747"/>
    <w:rsid w:val="001F7599"/>
    <w:rsid w:val="001F7CDB"/>
    <w:rsid w:val="00200144"/>
    <w:rsid w:val="0020203F"/>
    <w:rsid w:val="0020221F"/>
    <w:rsid w:val="0020302A"/>
    <w:rsid w:val="002060BA"/>
    <w:rsid w:val="002064C0"/>
    <w:rsid w:val="00207415"/>
    <w:rsid w:val="002074EC"/>
    <w:rsid w:val="0020797C"/>
    <w:rsid w:val="00207A7E"/>
    <w:rsid w:val="00207D4D"/>
    <w:rsid w:val="00210997"/>
    <w:rsid w:val="00210B7E"/>
    <w:rsid w:val="00211289"/>
    <w:rsid w:val="002117B2"/>
    <w:rsid w:val="00211B64"/>
    <w:rsid w:val="00213735"/>
    <w:rsid w:val="002146F3"/>
    <w:rsid w:val="0021636A"/>
    <w:rsid w:val="002163D7"/>
    <w:rsid w:val="0021679B"/>
    <w:rsid w:val="00216B2E"/>
    <w:rsid w:val="00216CD8"/>
    <w:rsid w:val="00220063"/>
    <w:rsid w:val="00220C64"/>
    <w:rsid w:val="00221061"/>
    <w:rsid w:val="00221F13"/>
    <w:rsid w:val="002220B6"/>
    <w:rsid w:val="00223BA0"/>
    <w:rsid w:val="00225FF8"/>
    <w:rsid w:val="002268A6"/>
    <w:rsid w:val="00227061"/>
    <w:rsid w:val="00227490"/>
    <w:rsid w:val="00227978"/>
    <w:rsid w:val="002303FF"/>
    <w:rsid w:val="00231C39"/>
    <w:rsid w:val="00234219"/>
    <w:rsid w:val="00234310"/>
    <w:rsid w:val="0023454C"/>
    <w:rsid w:val="002360B0"/>
    <w:rsid w:val="00236B80"/>
    <w:rsid w:val="002404C6"/>
    <w:rsid w:val="00241025"/>
    <w:rsid w:val="00241407"/>
    <w:rsid w:val="00241BF9"/>
    <w:rsid w:val="00241C03"/>
    <w:rsid w:val="00242276"/>
    <w:rsid w:val="002423DD"/>
    <w:rsid w:val="00244A73"/>
    <w:rsid w:val="00244ED7"/>
    <w:rsid w:val="00245620"/>
    <w:rsid w:val="00246295"/>
    <w:rsid w:val="00246713"/>
    <w:rsid w:val="00250563"/>
    <w:rsid w:val="002506EF"/>
    <w:rsid w:val="00251500"/>
    <w:rsid w:val="0025209E"/>
    <w:rsid w:val="00252147"/>
    <w:rsid w:val="002521EA"/>
    <w:rsid w:val="00254089"/>
    <w:rsid w:val="0025540C"/>
    <w:rsid w:val="00255FB8"/>
    <w:rsid w:val="00256430"/>
    <w:rsid w:val="00256B0F"/>
    <w:rsid w:val="00261C21"/>
    <w:rsid w:val="00262035"/>
    <w:rsid w:val="00262964"/>
    <w:rsid w:val="00262A50"/>
    <w:rsid w:val="002647BD"/>
    <w:rsid w:val="00264FE4"/>
    <w:rsid w:val="00265A3C"/>
    <w:rsid w:val="002666BB"/>
    <w:rsid w:val="0026688B"/>
    <w:rsid w:val="00266F71"/>
    <w:rsid w:val="0027121A"/>
    <w:rsid w:val="002733F2"/>
    <w:rsid w:val="002738E2"/>
    <w:rsid w:val="00273A77"/>
    <w:rsid w:val="00273E50"/>
    <w:rsid w:val="002754D8"/>
    <w:rsid w:val="00275764"/>
    <w:rsid w:val="00275B73"/>
    <w:rsid w:val="00276835"/>
    <w:rsid w:val="0028048F"/>
    <w:rsid w:val="0028117D"/>
    <w:rsid w:val="00281B69"/>
    <w:rsid w:val="0028269E"/>
    <w:rsid w:val="00284998"/>
    <w:rsid w:val="00284A58"/>
    <w:rsid w:val="00285C3B"/>
    <w:rsid w:val="00285DE0"/>
    <w:rsid w:val="00286573"/>
    <w:rsid w:val="00287E15"/>
    <w:rsid w:val="002926A9"/>
    <w:rsid w:val="002930CC"/>
    <w:rsid w:val="00293713"/>
    <w:rsid w:val="002937A2"/>
    <w:rsid w:val="0029434C"/>
    <w:rsid w:val="0029479F"/>
    <w:rsid w:val="002957F3"/>
    <w:rsid w:val="00295BFE"/>
    <w:rsid w:val="00296970"/>
    <w:rsid w:val="00297535"/>
    <w:rsid w:val="002A0409"/>
    <w:rsid w:val="002A0C5A"/>
    <w:rsid w:val="002A1745"/>
    <w:rsid w:val="002A351D"/>
    <w:rsid w:val="002A5138"/>
    <w:rsid w:val="002A5F76"/>
    <w:rsid w:val="002A5F9E"/>
    <w:rsid w:val="002A65C5"/>
    <w:rsid w:val="002A71BE"/>
    <w:rsid w:val="002B1694"/>
    <w:rsid w:val="002B1A68"/>
    <w:rsid w:val="002B1EBB"/>
    <w:rsid w:val="002B23A2"/>
    <w:rsid w:val="002B6AE4"/>
    <w:rsid w:val="002C068D"/>
    <w:rsid w:val="002C0AD3"/>
    <w:rsid w:val="002C1D04"/>
    <w:rsid w:val="002C2E20"/>
    <w:rsid w:val="002C4024"/>
    <w:rsid w:val="002C477C"/>
    <w:rsid w:val="002C4BB0"/>
    <w:rsid w:val="002C53C3"/>
    <w:rsid w:val="002C54E3"/>
    <w:rsid w:val="002C5F1D"/>
    <w:rsid w:val="002C6EE7"/>
    <w:rsid w:val="002D0871"/>
    <w:rsid w:val="002D0E84"/>
    <w:rsid w:val="002D0F68"/>
    <w:rsid w:val="002D1547"/>
    <w:rsid w:val="002D1F26"/>
    <w:rsid w:val="002D2335"/>
    <w:rsid w:val="002D30DD"/>
    <w:rsid w:val="002D3611"/>
    <w:rsid w:val="002D4587"/>
    <w:rsid w:val="002D4C2B"/>
    <w:rsid w:val="002D699C"/>
    <w:rsid w:val="002D72E5"/>
    <w:rsid w:val="002D7A13"/>
    <w:rsid w:val="002E0128"/>
    <w:rsid w:val="002E1C2C"/>
    <w:rsid w:val="002E2FC1"/>
    <w:rsid w:val="002E3CDA"/>
    <w:rsid w:val="002E3D9C"/>
    <w:rsid w:val="002E47C6"/>
    <w:rsid w:val="002E5C73"/>
    <w:rsid w:val="002E6DFA"/>
    <w:rsid w:val="002E765D"/>
    <w:rsid w:val="002E7D60"/>
    <w:rsid w:val="002F1487"/>
    <w:rsid w:val="002F3037"/>
    <w:rsid w:val="002F3C95"/>
    <w:rsid w:val="002F3DEB"/>
    <w:rsid w:val="002F4507"/>
    <w:rsid w:val="002F47AF"/>
    <w:rsid w:val="002F6205"/>
    <w:rsid w:val="002F65F7"/>
    <w:rsid w:val="002F6A7D"/>
    <w:rsid w:val="003000EC"/>
    <w:rsid w:val="00301133"/>
    <w:rsid w:val="00301A5D"/>
    <w:rsid w:val="003024A7"/>
    <w:rsid w:val="00302537"/>
    <w:rsid w:val="0030332A"/>
    <w:rsid w:val="00303487"/>
    <w:rsid w:val="00303CAD"/>
    <w:rsid w:val="00305410"/>
    <w:rsid w:val="00305CE6"/>
    <w:rsid w:val="00306157"/>
    <w:rsid w:val="003068BF"/>
    <w:rsid w:val="003068C2"/>
    <w:rsid w:val="00306C01"/>
    <w:rsid w:val="00306EAA"/>
    <w:rsid w:val="0030783E"/>
    <w:rsid w:val="00307A5F"/>
    <w:rsid w:val="00311FE8"/>
    <w:rsid w:val="0031243D"/>
    <w:rsid w:val="00313D40"/>
    <w:rsid w:val="00315C43"/>
    <w:rsid w:val="00321208"/>
    <w:rsid w:val="00323457"/>
    <w:rsid w:val="00323DAF"/>
    <w:rsid w:val="00324067"/>
    <w:rsid w:val="0032551F"/>
    <w:rsid w:val="00325D65"/>
    <w:rsid w:val="003262B6"/>
    <w:rsid w:val="00326B03"/>
    <w:rsid w:val="0032720C"/>
    <w:rsid w:val="00330833"/>
    <w:rsid w:val="0033107D"/>
    <w:rsid w:val="00331C5E"/>
    <w:rsid w:val="00333987"/>
    <w:rsid w:val="00333FAB"/>
    <w:rsid w:val="00334C2F"/>
    <w:rsid w:val="00334C86"/>
    <w:rsid w:val="00335022"/>
    <w:rsid w:val="00335C70"/>
    <w:rsid w:val="003366C9"/>
    <w:rsid w:val="0033672F"/>
    <w:rsid w:val="00336AF7"/>
    <w:rsid w:val="00336D5D"/>
    <w:rsid w:val="00336F1D"/>
    <w:rsid w:val="00340749"/>
    <w:rsid w:val="00340A62"/>
    <w:rsid w:val="003419EE"/>
    <w:rsid w:val="00341DDD"/>
    <w:rsid w:val="0034240B"/>
    <w:rsid w:val="0034279A"/>
    <w:rsid w:val="0034302E"/>
    <w:rsid w:val="00345001"/>
    <w:rsid w:val="00345151"/>
    <w:rsid w:val="00345A4B"/>
    <w:rsid w:val="00345D3D"/>
    <w:rsid w:val="00345F7B"/>
    <w:rsid w:val="003467D4"/>
    <w:rsid w:val="003469AB"/>
    <w:rsid w:val="00350D12"/>
    <w:rsid w:val="00350DF8"/>
    <w:rsid w:val="00351611"/>
    <w:rsid w:val="00351845"/>
    <w:rsid w:val="00351C27"/>
    <w:rsid w:val="00351FD1"/>
    <w:rsid w:val="00352C63"/>
    <w:rsid w:val="0035408E"/>
    <w:rsid w:val="00355682"/>
    <w:rsid w:val="0035703D"/>
    <w:rsid w:val="00357302"/>
    <w:rsid w:val="00360232"/>
    <w:rsid w:val="00360B27"/>
    <w:rsid w:val="00360D1E"/>
    <w:rsid w:val="00360D34"/>
    <w:rsid w:val="0036170E"/>
    <w:rsid w:val="00361740"/>
    <w:rsid w:val="00363A77"/>
    <w:rsid w:val="00364937"/>
    <w:rsid w:val="00364F43"/>
    <w:rsid w:val="00365C83"/>
    <w:rsid w:val="003727D7"/>
    <w:rsid w:val="00372B9F"/>
    <w:rsid w:val="00373924"/>
    <w:rsid w:val="00373AE8"/>
    <w:rsid w:val="00374320"/>
    <w:rsid w:val="0037460F"/>
    <w:rsid w:val="0037588A"/>
    <w:rsid w:val="00376544"/>
    <w:rsid w:val="00376F22"/>
    <w:rsid w:val="003777EB"/>
    <w:rsid w:val="003779CA"/>
    <w:rsid w:val="00381123"/>
    <w:rsid w:val="00381A1D"/>
    <w:rsid w:val="00382048"/>
    <w:rsid w:val="00382886"/>
    <w:rsid w:val="00382B0A"/>
    <w:rsid w:val="00383945"/>
    <w:rsid w:val="00383BB9"/>
    <w:rsid w:val="00384146"/>
    <w:rsid w:val="00384B3B"/>
    <w:rsid w:val="003852D7"/>
    <w:rsid w:val="0038546A"/>
    <w:rsid w:val="00385FE5"/>
    <w:rsid w:val="0038600B"/>
    <w:rsid w:val="00386D9B"/>
    <w:rsid w:val="00387CE5"/>
    <w:rsid w:val="003912F8"/>
    <w:rsid w:val="003917A4"/>
    <w:rsid w:val="00391DAB"/>
    <w:rsid w:val="0039233B"/>
    <w:rsid w:val="003923CF"/>
    <w:rsid w:val="003930FF"/>
    <w:rsid w:val="00397F7C"/>
    <w:rsid w:val="003A0452"/>
    <w:rsid w:val="003A1070"/>
    <w:rsid w:val="003A138C"/>
    <w:rsid w:val="003A1618"/>
    <w:rsid w:val="003A1A49"/>
    <w:rsid w:val="003A1DE8"/>
    <w:rsid w:val="003A2B74"/>
    <w:rsid w:val="003A2E47"/>
    <w:rsid w:val="003A3A47"/>
    <w:rsid w:val="003A5A0A"/>
    <w:rsid w:val="003A666A"/>
    <w:rsid w:val="003A79D0"/>
    <w:rsid w:val="003B0233"/>
    <w:rsid w:val="003B1912"/>
    <w:rsid w:val="003B2095"/>
    <w:rsid w:val="003B23DC"/>
    <w:rsid w:val="003B280D"/>
    <w:rsid w:val="003B2FDE"/>
    <w:rsid w:val="003B3857"/>
    <w:rsid w:val="003B6C4D"/>
    <w:rsid w:val="003B6D5E"/>
    <w:rsid w:val="003B73F3"/>
    <w:rsid w:val="003B76E1"/>
    <w:rsid w:val="003C0027"/>
    <w:rsid w:val="003C01CD"/>
    <w:rsid w:val="003C0452"/>
    <w:rsid w:val="003C138E"/>
    <w:rsid w:val="003C1FDE"/>
    <w:rsid w:val="003C2378"/>
    <w:rsid w:val="003C3124"/>
    <w:rsid w:val="003C39F6"/>
    <w:rsid w:val="003C3A51"/>
    <w:rsid w:val="003C3E43"/>
    <w:rsid w:val="003C4097"/>
    <w:rsid w:val="003C4196"/>
    <w:rsid w:val="003C447C"/>
    <w:rsid w:val="003C4847"/>
    <w:rsid w:val="003C5813"/>
    <w:rsid w:val="003C5EBE"/>
    <w:rsid w:val="003C77DC"/>
    <w:rsid w:val="003D1EAA"/>
    <w:rsid w:val="003D38E8"/>
    <w:rsid w:val="003D4A72"/>
    <w:rsid w:val="003D557B"/>
    <w:rsid w:val="003D58F7"/>
    <w:rsid w:val="003D675C"/>
    <w:rsid w:val="003D7117"/>
    <w:rsid w:val="003D7535"/>
    <w:rsid w:val="003E006D"/>
    <w:rsid w:val="003E2430"/>
    <w:rsid w:val="003E2D28"/>
    <w:rsid w:val="003E382F"/>
    <w:rsid w:val="003E440C"/>
    <w:rsid w:val="003E4CFC"/>
    <w:rsid w:val="003E6C6A"/>
    <w:rsid w:val="003E7390"/>
    <w:rsid w:val="003E7C6A"/>
    <w:rsid w:val="003E7CCF"/>
    <w:rsid w:val="003F0637"/>
    <w:rsid w:val="003F2113"/>
    <w:rsid w:val="003F26EF"/>
    <w:rsid w:val="003F2F7C"/>
    <w:rsid w:val="003F4741"/>
    <w:rsid w:val="003F48E5"/>
    <w:rsid w:val="003F5AF3"/>
    <w:rsid w:val="003F5E3C"/>
    <w:rsid w:val="003F60C3"/>
    <w:rsid w:val="003F6B6A"/>
    <w:rsid w:val="003F7AFA"/>
    <w:rsid w:val="0040021B"/>
    <w:rsid w:val="00401B81"/>
    <w:rsid w:val="00402C3B"/>
    <w:rsid w:val="00402C5D"/>
    <w:rsid w:val="004031DB"/>
    <w:rsid w:val="00406C62"/>
    <w:rsid w:val="00407713"/>
    <w:rsid w:val="00411E98"/>
    <w:rsid w:val="0041308F"/>
    <w:rsid w:val="004147B1"/>
    <w:rsid w:val="00415ADB"/>
    <w:rsid w:val="0041785E"/>
    <w:rsid w:val="00417A0B"/>
    <w:rsid w:val="004206E6"/>
    <w:rsid w:val="004207E7"/>
    <w:rsid w:val="004214C3"/>
    <w:rsid w:val="00422143"/>
    <w:rsid w:val="0042236B"/>
    <w:rsid w:val="004227EF"/>
    <w:rsid w:val="00422C19"/>
    <w:rsid w:val="0042321B"/>
    <w:rsid w:val="0042330F"/>
    <w:rsid w:val="004233BB"/>
    <w:rsid w:val="00423C51"/>
    <w:rsid w:val="004251AB"/>
    <w:rsid w:val="004273C1"/>
    <w:rsid w:val="00430752"/>
    <w:rsid w:val="004308AA"/>
    <w:rsid w:val="00430C44"/>
    <w:rsid w:val="0043154A"/>
    <w:rsid w:val="00432972"/>
    <w:rsid w:val="004343DF"/>
    <w:rsid w:val="004346D7"/>
    <w:rsid w:val="00434757"/>
    <w:rsid w:val="00434A18"/>
    <w:rsid w:val="00434A19"/>
    <w:rsid w:val="0043660E"/>
    <w:rsid w:val="0043664F"/>
    <w:rsid w:val="00436B86"/>
    <w:rsid w:val="00437B67"/>
    <w:rsid w:val="00440A0A"/>
    <w:rsid w:val="004411B9"/>
    <w:rsid w:val="004423CD"/>
    <w:rsid w:val="00442C17"/>
    <w:rsid w:val="00442F8E"/>
    <w:rsid w:val="00442FA7"/>
    <w:rsid w:val="00444A58"/>
    <w:rsid w:val="00444E30"/>
    <w:rsid w:val="00444EED"/>
    <w:rsid w:val="00445343"/>
    <w:rsid w:val="004456D4"/>
    <w:rsid w:val="00447536"/>
    <w:rsid w:val="00450004"/>
    <w:rsid w:val="004502E3"/>
    <w:rsid w:val="0045071E"/>
    <w:rsid w:val="00450744"/>
    <w:rsid w:val="00451F49"/>
    <w:rsid w:val="0045209A"/>
    <w:rsid w:val="004522C4"/>
    <w:rsid w:val="0045265F"/>
    <w:rsid w:val="00452724"/>
    <w:rsid w:val="00452E66"/>
    <w:rsid w:val="004533AE"/>
    <w:rsid w:val="00453636"/>
    <w:rsid w:val="00453FC3"/>
    <w:rsid w:val="00455150"/>
    <w:rsid w:val="00455EDD"/>
    <w:rsid w:val="00456200"/>
    <w:rsid w:val="00460BA2"/>
    <w:rsid w:val="00460CBE"/>
    <w:rsid w:val="00461AA2"/>
    <w:rsid w:val="00462805"/>
    <w:rsid w:val="00466D65"/>
    <w:rsid w:val="004673E8"/>
    <w:rsid w:val="004675CA"/>
    <w:rsid w:val="00470488"/>
    <w:rsid w:val="004710E5"/>
    <w:rsid w:val="00472BCD"/>
    <w:rsid w:val="00472BFD"/>
    <w:rsid w:val="00473F7A"/>
    <w:rsid w:val="00474E08"/>
    <w:rsid w:val="00476AC7"/>
    <w:rsid w:val="004825B9"/>
    <w:rsid w:val="004838EC"/>
    <w:rsid w:val="004839EA"/>
    <w:rsid w:val="00483EAF"/>
    <w:rsid w:val="00483F60"/>
    <w:rsid w:val="004843F4"/>
    <w:rsid w:val="004856B8"/>
    <w:rsid w:val="00485ECC"/>
    <w:rsid w:val="00486027"/>
    <w:rsid w:val="004866B5"/>
    <w:rsid w:val="004866F0"/>
    <w:rsid w:val="00486ACA"/>
    <w:rsid w:val="00487D50"/>
    <w:rsid w:val="00490219"/>
    <w:rsid w:val="00490E8D"/>
    <w:rsid w:val="00491A80"/>
    <w:rsid w:val="004928CF"/>
    <w:rsid w:val="004958AB"/>
    <w:rsid w:val="00495D40"/>
    <w:rsid w:val="00497B21"/>
    <w:rsid w:val="004A0497"/>
    <w:rsid w:val="004A1E9D"/>
    <w:rsid w:val="004A2EA7"/>
    <w:rsid w:val="004A4013"/>
    <w:rsid w:val="004A427B"/>
    <w:rsid w:val="004A4295"/>
    <w:rsid w:val="004A5136"/>
    <w:rsid w:val="004A60F2"/>
    <w:rsid w:val="004A6756"/>
    <w:rsid w:val="004A6C61"/>
    <w:rsid w:val="004B02DA"/>
    <w:rsid w:val="004B1035"/>
    <w:rsid w:val="004B3E5C"/>
    <w:rsid w:val="004B405E"/>
    <w:rsid w:val="004B44F5"/>
    <w:rsid w:val="004B5215"/>
    <w:rsid w:val="004B550F"/>
    <w:rsid w:val="004B691E"/>
    <w:rsid w:val="004C2910"/>
    <w:rsid w:val="004C2ECD"/>
    <w:rsid w:val="004C35B6"/>
    <w:rsid w:val="004C3D5D"/>
    <w:rsid w:val="004C3FA4"/>
    <w:rsid w:val="004C5534"/>
    <w:rsid w:val="004C6D13"/>
    <w:rsid w:val="004C6DCF"/>
    <w:rsid w:val="004C7566"/>
    <w:rsid w:val="004D1702"/>
    <w:rsid w:val="004D1B11"/>
    <w:rsid w:val="004D2611"/>
    <w:rsid w:val="004D26FD"/>
    <w:rsid w:val="004D2CC0"/>
    <w:rsid w:val="004D2F75"/>
    <w:rsid w:val="004D3397"/>
    <w:rsid w:val="004D4C81"/>
    <w:rsid w:val="004D4D3F"/>
    <w:rsid w:val="004E113F"/>
    <w:rsid w:val="004E18BB"/>
    <w:rsid w:val="004E1BFC"/>
    <w:rsid w:val="004E2C92"/>
    <w:rsid w:val="004E3C08"/>
    <w:rsid w:val="004E4A9B"/>
    <w:rsid w:val="004E4BAF"/>
    <w:rsid w:val="004E5414"/>
    <w:rsid w:val="004E65B7"/>
    <w:rsid w:val="004F0B9C"/>
    <w:rsid w:val="004F1C3C"/>
    <w:rsid w:val="004F25D7"/>
    <w:rsid w:val="004F3764"/>
    <w:rsid w:val="004F7147"/>
    <w:rsid w:val="004F75DA"/>
    <w:rsid w:val="004F7EAC"/>
    <w:rsid w:val="005032FA"/>
    <w:rsid w:val="00504133"/>
    <w:rsid w:val="0050428F"/>
    <w:rsid w:val="00507D8B"/>
    <w:rsid w:val="005100AA"/>
    <w:rsid w:val="00510AEE"/>
    <w:rsid w:val="005122AC"/>
    <w:rsid w:val="00512CD4"/>
    <w:rsid w:val="00512E0A"/>
    <w:rsid w:val="0051302F"/>
    <w:rsid w:val="00513561"/>
    <w:rsid w:val="00513E84"/>
    <w:rsid w:val="00514607"/>
    <w:rsid w:val="00514A5E"/>
    <w:rsid w:val="005163D8"/>
    <w:rsid w:val="0052012B"/>
    <w:rsid w:val="0052042B"/>
    <w:rsid w:val="0052074B"/>
    <w:rsid w:val="00523130"/>
    <w:rsid w:val="005234E7"/>
    <w:rsid w:val="00524D98"/>
    <w:rsid w:val="005252AC"/>
    <w:rsid w:val="00527262"/>
    <w:rsid w:val="005278D1"/>
    <w:rsid w:val="005303D6"/>
    <w:rsid w:val="005319B3"/>
    <w:rsid w:val="00531A16"/>
    <w:rsid w:val="00532372"/>
    <w:rsid w:val="005324DB"/>
    <w:rsid w:val="00532FE5"/>
    <w:rsid w:val="005337B3"/>
    <w:rsid w:val="00533891"/>
    <w:rsid w:val="00533A0A"/>
    <w:rsid w:val="00533FBE"/>
    <w:rsid w:val="005354AB"/>
    <w:rsid w:val="00536BBA"/>
    <w:rsid w:val="00536BFC"/>
    <w:rsid w:val="00536C63"/>
    <w:rsid w:val="005372E4"/>
    <w:rsid w:val="00537943"/>
    <w:rsid w:val="00540119"/>
    <w:rsid w:val="00541CD5"/>
    <w:rsid w:val="005427F0"/>
    <w:rsid w:val="00542B61"/>
    <w:rsid w:val="00545AF4"/>
    <w:rsid w:val="00545CED"/>
    <w:rsid w:val="00546582"/>
    <w:rsid w:val="00546E73"/>
    <w:rsid w:val="00547755"/>
    <w:rsid w:val="00547869"/>
    <w:rsid w:val="00547E6D"/>
    <w:rsid w:val="00550190"/>
    <w:rsid w:val="00550CA0"/>
    <w:rsid w:val="00552272"/>
    <w:rsid w:val="00552293"/>
    <w:rsid w:val="00553718"/>
    <w:rsid w:val="00553F38"/>
    <w:rsid w:val="00554486"/>
    <w:rsid w:val="00555CF7"/>
    <w:rsid w:val="00557C92"/>
    <w:rsid w:val="005602ED"/>
    <w:rsid w:val="00560A5D"/>
    <w:rsid w:val="00561618"/>
    <w:rsid w:val="005617BD"/>
    <w:rsid w:val="005620E9"/>
    <w:rsid w:val="00565614"/>
    <w:rsid w:val="00565E26"/>
    <w:rsid w:val="0056691E"/>
    <w:rsid w:val="00566C89"/>
    <w:rsid w:val="0056701A"/>
    <w:rsid w:val="00567510"/>
    <w:rsid w:val="005677CC"/>
    <w:rsid w:val="00567D47"/>
    <w:rsid w:val="0057109F"/>
    <w:rsid w:val="00571A73"/>
    <w:rsid w:val="00573522"/>
    <w:rsid w:val="0057524B"/>
    <w:rsid w:val="00575310"/>
    <w:rsid w:val="00575954"/>
    <w:rsid w:val="00575C7D"/>
    <w:rsid w:val="005775D1"/>
    <w:rsid w:val="00577810"/>
    <w:rsid w:val="00577ACF"/>
    <w:rsid w:val="00577ADF"/>
    <w:rsid w:val="0058058C"/>
    <w:rsid w:val="00580E27"/>
    <w:rsid w:val="00582EA0"/>
    <w:rsid w:val="00583B9B"/>
    <w:rsid w:val="00583DE9"/>
    <w:rsid w:val="00583EA9"/>
    <w:rsid w:val="00584794"/>
    <w:rsid w:val="00584D06"/>
    <w:rsid w:val="00586C8B"/>
    <w:rsid w:val="0058705C"/>
    <w:rsid w:val="00587E46"/>
    <w:rsid w:val="00590F33"/>
    <w:rsid w:val="0059327B"/>
    <w:rsid w:val="005950A0"/>
    <w:rsid w:val="00595615"/>
    <w:rsid w:val="0059626F"/>
    <w:rsid w:val="00596541"/>
    <w:rsid w:val="005965C4"/>
    <w:rsid w:val="00596B2D"/>
    <w:rsid w:val="0059739A"/>
    <w:rsid w:val="005973F0"/>
    <w:rsid w:val="005977D7"/>
    <w:rsid w:val="005A07C7"/>
    <w:rsid w:val="005A12F5"/>
    <w:rsid w:val="005A139B"/>
    <w:rsid w:val="005A1687"/>
    <w:rsid w:val="005A204D"/>
    <w:rsid w:val="005A24AB"/>
    <w:rsid w:val="005A342F"/>
    <w:rsid w:val="005A3751"/>
    <w:rsid w:val="005A3A35"/>
    <w:rsid w:val="005A5A01"/>
    <w:rsid w:val="005A6049"/>
    <w:rsid w:val="005A7B2A"/>
    <w:rsid w:val="005B16F8"/>
    <w:rsid w:val="005B1B15"/>
    <w:rsid w:val="005B2246"/>
    <w:rsid w:val="005B4265"/>
    <w:rsid w:val="005B4BF7"/>
    <w:rsid w:val="005B54BE"/>
    <w:rsid w:val="005B56D4"/>
    <w:rsid w:val="005B596A"/>
    <w:rsid w:val="005B5A94"/>
    <w:rsid w:val="005B6937"/>
    <w:rsid w:val="005B793C"/>
    <w:rsid w:val="005C036B"/>
    <w:rsid w:val="005C0785"/>
    <w:rsid w:val="005C0C71"/>
    <w:rsid w:val="005C2053"/>
    <w:rsid w:val="005C2859"/>
    <w:rsid w:val="005C2BEA"/>
    <w:rsid w:val="005C3954"/>
    <w:rsid w:val="005C5B44"/>
    <w:rsid w:val="005C5F80"/>
    <w:rsid w:val="005C763C"/>
    <w:rsid w:val="005D03F2"/>
    <w:rsid w:val="005D0C9E"/>
    <w:rsid w:val="005D2AF1"/>
    <w:rsid w:val="005D2CAC"/>
    <w:rsid w:val="005D3A73"/>
    <w:rsid w:val="005D3E97"/>
    <w:rsid w:val="005D4818"/>
    <w:rsid w:val="005D5981"/>
    <w:rsid w:val="005D5D6F"/>
    <w:rsid w:val="005D67B6"/>
    <w:rsid w:val="005D7D9A"/>
    <w:rsid w:val="005E1201"/>
    <w:rsid w:val="005E214F"/>
    <w:rsid w:val="005E2E74"/>
    <w:rsid w:val="005E340B"/>
    <w:rsid w:val="005E3EC9"/>
    <w:rsid w:val="005E4BA9"/>
    <w:rsid w:val="005E5580"/>
    <w:rsid w:val="005E676B"/>
    <w:rsid w:val="005E6863"/>
    <w:rsid w:val="005F042A"/>
    <w:rsid w:val="005F178E"/>
    <w:rsid w:val="005F2C84"/>
    <w:rsid w:val="005F3BD9"/>
    <w:rsid w:val="005F59C7"/>
    <w:rsid w:val="005F5D97"/>
    <w:rsid w:val="005F69CE"/>
    <w:rsid w:val="00600BF1"/>
    <w:rsid w:val="00600DED"/>
    <w:rsid w:val="006025B7"/>
    <w:rsid w:val="0060266B"/>
    <w:rsid w:val="006034B6"/>
    <w:rsid w:val="00604087"/>
    <w:rsid w:val="0060546B"/>
    <w:rsid w:val="00606412"/>
    <w:rsid w:val="00610480"/>
    <w:rsid w:val="00610E14"/>
    <w:rsid w:val="00611227"/>
    <w:rsid w:val="00611D43"/>
    <w:rsid w:val="00611F40"/>
    <w:rsid w:val="00611F5A"/>
    <w:rsid w:val="00614CF4"/>
    <w:rsid w:val="00615837"/>
    <w:rsid w:val="00615A61"/>
    <w:rsid w:val="00615ACA"/>
    <w:rsid w:val="00615C2C"/>
    <w:rsid w:val="00616CE5"/>
    <w:rsid w:val="00617558"/>
    <w:rsid w:val="00621510"/>
    <w:rsid w:val="006217F8"/>
    <w:rsid w:val="00622534"/>
    <w:rsid w:val="00622895"/>
    <w:rsid w:val="00622ABB"/>
    <w:rsid w:val="00622B3B"/>
    <w:rsid w:val="006238E5"/>
    <w:rsid w:val="00624249"/>
    <w:rsid w:val="00625AFF"/>
    <w:rsid w:val="006269A0"/>
    <w:rsid w:val="0062723B"/>
    <w:rsid w:val="0062763E"/>
    <w:rsid w:val="006308D9"/>
    <w:rsid w:val="00630BF2"/>
    <w:rsid w:val="00630D44"/>
    <w:rsid w:val="00630EC0"/>
    <w:rsid w:val="00631ED2"/>
    <w:rsid w:val="00632257"/>
    <w:rsid w:val="00632FFC"/>
    <w:rsid w:val="00633956"/>
    <w:rsid w:val="00634188"/>
    <w:rsid w:val="00635CE1"/>
    <w:rsid w:val="00636175"/>
    <w:rsid w:val="00636FC8"/>
    <w:rsid w:val="006374C8"/>
    <w:rsid w:val="00637A38"/>
    <w:rsid w:val="00640293"/>
    <w:rsid w:val="00640643"/>
    <w:rsid w:val="00640A86"/>
    <w:rsid w:val="0064105B"/>
    <w:rsid w:val="00641345"/>
    <w:rsid w:val="00643CCF"/>
    <w:rsid w:val="00643EB3"/>
    <w:rsid w:val="006447E2"/>
    <w:rsid w:val="006448BE"/>
    <w:rsid w:val="006449D0"/>
    <w:rsid w:val="00644DA9"/>
    <w:rsid w:val="00647FF9"/>
    <w:rsid w:val="006509A2"/>
    <w:rsid w:val="00652CBF"/>
    <w:rsid w:val="00654B16"/>
    <w:rsid w:val="006556E1"/>
    <w:rsid w:val="00656434"/>
    <w:rsid w:val="00656B2B"/>
    <w:rsid w:val="00660C28"/>
    <w:rsid w:val="00662310"/>
    <w:rsid w:val="006625B5"/>
    <w:rsid w:val="00663D32"/>
    <w:rsid w:val="00663EED"/>
    <w:rsid w:val="00665CAD"/>
    <w:rsid w:val="00665F56"/>
    <w:rsid w:val="0066676B"/>
    <w:rsid w:val="00667E4D"/>
    <w:rsid w:val="00670330"/>
    <w:rsid w:val="00671B51"/>
    <w:rsid w:val="00672021"/>
    <w:rsid w:val="0067265B"/>
    <w:rsid w:val="006733B5"/>
    <w:rsid w:val="00673430"/>
    <w:rsid w:val="00673E7C"/>
    <w:rsid w:val="00674E19"/>
    <w:rsid w:val="006752CA"/>
    <w:rsid w:val="00677B76"/>
    <w:rsid w:val="00677D15"/>
    <w:rsid w:val="00680CEA"/>
    <w:rsid w:val="00683A81"/>
    <w:rsid w:val="0068533C"/>
    <w:rsid w:val="00685994"/>
    <w:rsid w:val="00685F2A"/>
    <w:rsid w:val="00686755"/>
    <w:rsid w:val="00687A71"/>
    <w:rsid w:val="00687C85"/>
    <w:rsid w:val="0069042C"/>
    <w:rsid w:val="00691F6B"/>
    <w:rsid w:val="006921ED"/>
    <w:rsid w:val="00692C26"/>
    <w:rsid w:val="00692D68"/>
    <w:rsid w:val="006942BF"/>
    <w:rsid w:val="0069459D"/>
    <w:rsid w:val="00694B3F"/>
    <w:rsid w:val="0069502F"/>
    <w:rsid w:val="0069564F"/>
    <w:rsid w:val="00695A05"/>
    <w:rsid w:val="006971EB"/>
    <w:rsid w:val="0069792B"/>
    <w:rsid w:val="00697D15"/>
    <w:rsid w:val="006A1911"/>
    <w:rsid w:val="006A20A3"/>
    <w:rsid w:val="006A2209"/>
    <w:rsid w:val="006A434B"/>
    <w:rsid w:val="006A445E"/>
    <w:rsid w:val="006A5656"/>
    <w:rsid w:val="006A57C6"/>
    <w:rsid w:val="006A6EAD"/>
    <w:rsid w:val="006A7388"/>
    <w:rsid w:val="006A7C6E"/>
    <w:rsid w:val="006A7EDF"/>
    <w:rsid w:val="006B14F3"/>
    <w:rsid w:val="006B27A6"/>
    <w:rsid w:val="006B3956"/>
    <w:rsid w:val="006B3B80"/>
    <w:rsid w:val="006B4913"/>
    <w:rsid w:val="006B6525"/>
    <w:rsid w:val="006B6EBD"/>
    <w:rsid w:val="006B7913"/>
    <w:rsid w:val="006C0C8F"/>
    <w:rsid w:val="006C210C"/>
    <w:rsid w:val="006C2A3F"/>
    <w:rsid w:val="006C3FB6"/>
    <w:rsid w:val="006C4356"/>
    <w:rsid w:val="006C4697"/>
    <w:rsid w:val="006C57B3"/>
    <w:rsid w:val="006C7D25"/>
    <w:rsid w:val="006D12B0"/>
    <w:rsid w:val="006D132D"/>
    <w:rsid w:val="006D15B7"/>
    <w:rsid w:val="006D276A"/>
    <w:rsid w:val="006D3F4C"/>
    <w:rsid w:val="006D6B4C"/>
    <w:rsid w:val="006D6EAF"/>
    <w:rsid w:val="006D7571"/>
    <w:rsid w:val="006E1783"/>
    <w:rsid w:val="006E1B35"/>
    <w:rsid w:val="006E23A1"/>
    <w:rsid w:val="006E2429"/>
    <w:rsid w:val="006E3F1C"/>
    <w:rsid w:val="006E3F55"/>
    <w:rsid w:val="006E56AF"/>
    <w:rsid w:val="006E5ED6"/>
    <w:rsid w:val="006E61EE"/>
    <w:rsid w:val="006E6D0D"/>
    <w:rsid w:val="006E70EA"/>
    <w:rsid w:val="006E7355"/>
    <w:rsid w:val="006F007E"/>
    <w:rsid w:val="006F09F6"/>
    <w:rsid w:val="006F0BEE"/>
    <w:rsid w:val="006F3A97"/>
    <w:rsid w:val="006F41DD"/>
    <w:rsid w:val="006F5746"/>
    <w:rsid w:val="006F623E"/>
    <w:rsid w:val="006F67CA"/>
    <w:rsid w:val="00700291"/>
    <w:rsid w:val="007013F3"/>
    <w:rsid w:val="0070145F"/>
    <w:rsid w:val="00702635"/>
    <w:rsid w:val="00702A57"/>
    <w:rsid w:val="007047B3"/>
    <w:rsid w:val="00704A32"/>
    <w:rsid w:val="00704BE2"/>
    <w:rsid w:val="00704E96"/>
    <w:rsid w:val="007058B7"/>
    <w:rsid w:val="00705C31"/>
    <w:rsid w:val="00706E3D"/>
    <w:rsid w:val="00706E7C"/>
    <w:rsid w:val="00711C25"/>
    <w:rsid w:val="00712276"/>
    <w:rsid w:val="0071238D"/>
    <w:rsid w:val="007131E2"/>
    <w:rsid w:val="007156A6"/>
    <w:rsid w:val="00715A02"/>
    <w:rsid w:val="00716D82"/>
    <w:rsid w:val="00716F67"/>
    <w:rsid w:val="007170EE"/>
    <w:rsid w:val="007175FA"/>
    <w:rsid w:val="007201E7"/>
    <w:rsid w:val="00721B56"/>
    <w:rsid w:val="007232C8"/>
    <w:rsid w:val="007239E6"/>
    <w:rsid w:val="00724AD0"/>
    <w:rsid w:val="00724C93"/>
    <w:rsid w:val="00725240"/>
    <w:rsid w:val="0072535E"/>
    <w:rsid w:val="007253EC"/>
    <w:rsid w:val="00725E92"/>
    <w:rsid w:val="00727A99"/>
    <w:rsid w:val="0073313B"/>
    <w:rsid w:val="007337FA"/>
    <w:rsid w:val="00733DDF"/>
    <w:rsid w:val="0073409D"/>
    <w:rsid w:val="0073418E"/>
    <w:rsid w:val="00734279"/>
    <w:rsid w:val="00734ED5"/>
    <w:rsid w:val="0073520E"/>
    <w:rsid w:val="00736C5B"/>
    <w:rsid w:val="0074029F"/>
    <w:rsid w:val="007421E6"/>
    <w:rsid w:val="007439D1"/>
    <w:rsid w:val="007439E9"/>
    <w:rsid w:val="00744489"/>
    <w:rsid w:val="007451F1"/>
    <w:rsid w:val="007453A9"/>
    <w:rsid w:val="007455A0"/>
    <w:rsid w:val="00745D16"/>
    <w:rsid w:val="00745D4A"/>
    <w:rsid w:val="007460E1"/>
    <w:rsid w:val="0074615D"/>
    <w:rsid w:val="007471D1"/>
    <w:rsid w:val="007531E4"/>
    <w:rsid w:val="007532DD"/>
    <w:rsid w:val="00753B67"/>
    <w:rsid w:val="00753C2A"/>
    <w:rsid w:val="00754274"/>
    <w:rsid w:val="00755C93"/>
    <w:rsid w:val="007569A0"/>
    <w:rsid w:val="00756EB4"/>
    <w:rsid w:val="00757500"/>
    <w:rsid w:val="00757F53"/>
    <w:rsid w:val="00757F59"/>
    <w:rsid w:val="0076002C"/>
    <w:rsid w:val="00761BFD"/>
    <w:rsid w:val="007636A2"/>
    <w:rsid w:val="007640A0"/>
    <w:rsid w:val="00764186"/>
    <w:rsid w:val="00764345"/>
    <w:rsid w:val="00764E27"/>
    <w:rsid w:val="00765543"/>
    <w:rsid w:val="00766B1F"/>
    <w:rsid w:val="00770842"/>
    <w:rsid w:val="007710C9"/>
    <w:rsid w:val="00771962"/>
    <w:rsid w:val="00771DD4"/>
    <w:rsid w:val="00771F1E"/>
    <w:rsid w:val="00771FA5"/>
    <w:rsid w:val="00772533"/>
    <w:rsid w:val="00772DA7"/>
    <w:rsid w:val="0077317F"/>
    <w:rsid w:val="00773A62"/>
    <w:rsid w:val="00773FE9"/>
    <w:rsid w:val="007748F0"/>
    <w:rsid w:val="00774FDF"/>
    <w:rsid w:val="00775A4C"/>
    <w:rsid w:val="00776D6A"/>
    <w:rsid w:val="00777DD7"/>
    <w:rsid w:val="00780495"/>
    <w:rsid w:val="0078059E"/>
    <w:rsid w:val="007811AB"/>
    <w:rsid w:val="00781E7E"/>
    <w:rsid w:val="00783A38"/>
    <w:rsid w:val="00784CB3"/>
    <w:rsid w:val="0078738F"/>
    <w:rsid w:val="00787457"/>
    <w:rsid w:val="007875C5"/>
    <w:rsid w:val="00790F0D"/>
    <w:rsid w:val="0079112B"/>
    <w:rsid w:val="00791A5F"/>
    <w:rsid w:val="00792AA9"/>
    <w:rsid w:val="0079375B"/>
    <w:rsid w:val="00793927"/>
    <w:rsid w:val="007945E9"/>
    <w:rsid w:val="00795109"/>
    <w:rsid w:val="007958A9"/>
    <w:rsid w:val="00795EB3"/>
    <w:rsid w:val="00796DB4"/>
    <w:rsid w:val="007971B2"/>
    <w:rsid w:val="00797BA8"/>
    <w:rsid w:val="007A3217"/>
    <w:rsid w:val="007A33A4"/>
    <w:rsid w:val="007A36F1"/>
    <w:rsid w:val="007A4B8C"/>
    <w:rsid w:val="007A6E70"/>
    <w:rsid w:val="007A7849"/>
    <w:rsid w:val="007A7AF1"/>
    <w:rsid w:val="007A7FED"/>
    <w:rsid w:val="007B02BA"/>
    <w:rsid w:val="007B0CFD"/>
    <w:rsid w:val="007B1429"/>
    <w:rsid w:val="007B1AC9"/>
    <w:rsid w:val="007B3095"/>
    <w:rsid w:val="007B30FD"/>
    <w:rsid w:val="007B3AFF"/>
    <w:rsid w:val="007B417D"/>
    <w:rsid w:val="007B50BF"/>
    <w:rsid w:val="007B58C7"/>
    <w:rsid w:val="007B5A89"/>
    <w:rsid w:val="007B5B51"/>
    <w:rsid w:val="007B5DCD"/>
    <w:rsid w:val="007C1A72"/>
    <w:rsid w:val="007C2864"/>
    <w:rsid w:val="007C330D"/>
    <w:rsid w:val="007C3CA3"/>
    <w:rsid w:val="007C431A"/>
    <w:rsid w:val="007C4403"/>
    <w:rsid w:val="007C57BF"/>
    <w:rsid w:val="007C616A"/>
    <w:rsid w:val="007C6C40"/>
    <w:rsid w:val="007C77BC"/>
    <w:rsid w:val="007C7BB5"/>
    <w:rsid w:val="007D0498"/>
    <w:rsid w:val="007D0746"/>
    <w:rsid w:val="007D09E2"/>
    <w:rsid w:val="007D2200"/>
    <w:rsid w:val="007D2C47"/>
    <w:rsid w:val="007D3DCB"/>
    <w:rsid w:val="007D41FB"/>
    <w:rsid w:val="007D425D"/>
    <w:rsid w:val="007D4302"/>
    <w:rsid w:val="007D5921"/>
    <w:rsid w:val="007D65B4"/>
    <w:rsid w:val="007D665B"/>
    <w:rsid w:val="007D67F7"/>
    <w:rsid w:val="007E0A13"/>
    <w:rsid w:val="007E181B"/>
    <w:rsid w:val="007E2957"/>
    <w:rsid w:val="007E32CD"/>
    <w:rsid w:val="007E398E"/>
    <w:rsid w:val="007E4036"/>
    <w:rsid w:val="007E7035"/>
    <w:rsid w:val="007E75D3"/>
    <w:rsid w:val="007E7D10"/>
    <w:rsid w:val="007F0E2E"/>
    <w:rsid w:val="007F0E69"/>
    <w:rsid w:val="007F263C"/>
    <w:rsid w:val="007F4636"/>
    <w:rsid w:val="007F62F9"/>
    <w:rsid w:val="007F64FF"/>
    <w:rsid w:val="007F67C1"/>
    <w:rsid w:val="007F6FEB"/>
    <w:rsid w:val="007F7BB2"/>
    <w:rsid w:val="0080187B"/>
    <w:rsid w:val="008022A6"/>
    <w:rsid w:val="0080359F"/>
    <w:rsid w:val="00804F2E"/>
    <w:rsid w:val="0080614A"/>
    <w:rsid w:val="008100F8"/>
    <w:rsid w:val="00810579"/>
    <w:rsid w:val="008112B0"/>
    <w:rsid w:val="0081151E"/>
    <w:rsid w:val="008126C8"/>
    <w:rsid w:val="0081281B"/>
    <w:rsid w:val="008136EC"/>
    <w:rsid w:val="008143BE"/>
    <w:rsid w:val="00814722"/>
    <w:rsid w:val="00815623"/>
    <w:rsid w:val="0081563D"/>
    <w:rsid w:val="00816AAB"/>
    <w:rsid w:val="00817825"/>
    <w:rsid w:val="00820009"/>
    <w:rsid w:val="008205F2"/>
    <w:rsid w:val="008210F4"/>
    <w:rsid w:val="00821CBF"/>
    <w:rsid w:val="00821E7D"/>
    <w:rsid w:val="00821EA9"/>
    <w:rsid w:val="0082241F"/>
    <w:rsid w:val="00822A9D"/>
    <w:rsid w:val="008241E9"/>
    <w:rsid w:val="00824AAF"/>
    <w:rsid w:val="00824F98"/>
    <w:rsid w:val="0082511A"/>
    <w:rsid w:val="00825BF3"/>
    <w:rsid w:val="008263A6"/>
    <w:rsid w:val="00830E66"/>
    <w:rsid w:val="00831D49"/>
    <w:rsid w:val="0083246B"/>
    <w:rsid w:val="00832BAF"/>
    <w:rsid w:val="008339BC"/>
    <w:rsid w:val="008339BF"/>
    <w:rsid w:val="00833B4D"/>
    <w:rsid w:val="00834DD7"/>
    <w:rsid w:val="00836994"/>
    <w:rsid w:val="00836AD5"/>
    <w:rsid w:val="00840F2E"/>
    <w:rsid w:val="00841BC0"/>
    <w:rsid w:val="00841C48"/>
    <w:rsid w:val="00842637"/>
    <w:rsid w:val="00845B3D"/>
    <w:rsid w:val="00847BD9"/>
    <w:rsid w:val="00850457"/>
    <w:rsid w:val="00850C8E"/>
    <w:rsid w:val="00850CFD"/>
    <w:rsid w:val="00851720"/>
    <w:rsid w:val="00852091"/>
    <w:rsid w:val="0085215E"/>
    <w:rsid w:val="00852D62"/>
    <w:rsid w:val="00852F62"/>
    <w:rsid w:val="008532CA"/>
    <w:rsid w:val="008533ED"/>
    <w:rsid w:val="0085573B"/>
    <w:rsid w:val="008559C4"/>
    <w:rsid w:val="00855E75"/>
    <w:rsid w:val="00856E04"/>
    <w:rsid w:val="008571DA"/>
    <w:rsid w:val="0085778B"/>
    <w:rsid w:val="00860A42"/>
    <w:rsid w:val="008614FD"/>
    <w:rsid w:val="00862123"/>
    <w:rsid w:val="0086317B"/>
    <w:rsid w:val="00865474"/>
    <w:rsid w:val="00865B78"/>
    <w:rsid w:val="00865D27"/>
    <w:rsid w:val="00866AB9"/>
    <w:rsid w:val="00870034"/>
    <w:rsid w:val="00872C82"/>
    <w:rsid w:val="00872E79"/>
    <w:rsid w:val="00874CA1"/>
    <w:rsid w:val="00875138"/>
    <w:rsid w:val="008751B2"/>
    <w:rsid w:val="00875D02"/>
    <w:rsid w:val="00876DE1"/>
    <w:rsid w:val="00880F64"/>
    <w:rsid w:val="008819D9"/>
    <w:rsid w:val="0088228D"/>
    <w:rsid w:val="008829E6"/>
    <w:rsid w:val="00882E6B"/>
    <w:rsid w:val="00883C11"/>
    <w:rsid w:val="00884A7B"/>
    <w:rsid w:val="00884BA9"/>
    <w:rsid w:val="00884EDF"/>
    <w:rsid w:val="0088506F"/>
    <w:rsid w:val="008868D5"/>
    <w:rsid w:val="008912FD"/>
    <w:rsid w:val="008915EF"/>
    <w:rsid w:val="008916AF"/>
    <w:rsid w:val="00891EC6"/>
    <w:rsid w:val="00892623"/>
    <w:rsid w:val="008926A8"/>
    <w:rsid w:val="00894D14"/>
    <w:rsid w:val="00896529"/>
    <w:rsid w:val="00896FD0"/>
    <w:rsid w:val="00897894"/>
    <w:rsid w:val="008A0330"/>
    <w:rsid w:val="008A11EB"/>
    <w:rsid w:val="008A1E50"/>
    <w:rsid w:val="008A2120"/>
    <w:rsid w:val="008A23B5"/>
    <w:rsid w:val="008A2842"/>
    <w:rsid w:val="008A3363"/>
    <w:rsid w:val="008A3DFD"/>
    <w:rsid w:val="008A48B5"/>
    <w:rsid w:val="008A4DB4"/>
    <w:rsid w:val="008A57BE"/>
    <w:rsid w:val="008A5A64"/>
    <w:rsid w:val="008A644B"/>
    <w:rsid w:val="008A6D0E"/>
    <w:rsid w:val="008A7E06"/>
    <w:rsid w:val="008B0F87"/>
    <w:rsid w:val="008B11E2"/>
    <w:rsid w:val="008B2FF6"/>
    <w:rsid w:val="008B3A8F"/>
    <w:rsid w:val="008B55C4"/>
    <w:rsid w:val="008B59F0"/>
    <w:rsid w:val="008B7D27"/>
    <w:rsid w:val="008C0472"/>
    <w:rsid w:val="008C09DF"/>
    <w:rsid w:val="008C0C3E"/>
    <w:rsid w:val="008C193A"/>
    <w:rsid w:val="008C25EC"/>
    <w:rsid w:val="008C2940"/>
    <w:rsid w:val="008C35C9"/>
    <w:rsid w:val="008C4B34"/>
    <w:rsid w:val="008C4BDC"/>
    <w:rsid w:val="008C5A05"/>
    <w:rsid w:val="008C5F53"/>
    <w:rsid w:val="008C6617"/>
    <w:rsid w:val="008C70FA"/>
    <w:rsid w:val="008C7135"/>
    <w:rsid w:val="008C78F0"/>
    <w:rsid w:val="008D1943"/>
    <w:rsid w:val="008D23B7"/>
    <w:rsid w:val="008D25B7"/>
    <w:rsid w:val="008D2EA2"/>
    <w:rsid w:val="008D2FFD"/>
    <w:rsid w:val="008D3EA7"/>
    <w:rsid w:val="008D466D"/>
    <w:rsid w:val="008D4AEA"/>
    <w:rsid w:val="008D6E5A"/>
    <w:rsid w:val="008E0A54"/>
    <w:rsid w:val="008E171B"/>
    <w:rsid w:val="008E23F3"/>
    <w:rsid w:val="008E38B2"/>
    <w:rsid w:val="008E3E03"/>
    <w:rsid w:val="008E586C"/>
    <w:rsid w:val="008E61C2"/>
    <w:rsid w:val="008E6B82"/>
    <w:rsid w:val="008E6B94"/>
    <w:rsid w:val="008E711C"/>
    <w:rsid w:val="008F033B"/>
    <w:rsid w:val="008F04C2"/>
    <w:rsid w:val="008F19B8"/>
    <w:rsid w:val="008F1CC1"/>
    <w:rsid w:val="008F288B"/>
    <w:rsid w:val="008F3637"/>
    <w:rsid w:val="008F37B4"/>
    <w:rsid w:val="008F43CD"/>
    <w:rsid w:val="008F47F1"/>
    <w:rsid w:val="008F4B98"/>
    <w:rsid w:val="008F6700"/>
    <w:rsid w:val="008F68E6"/>
    <w:rsid w:val="008F7AD9"/>
    <w:rsid w:val="00902AA3"/>
    <w:rsid w:val="009030ED"/>
    <w:rsid w:val="00903116"/>
    <w:rsid w:val="0090509A"/>
    <w:rsid w:val="009050B9"/>
    <w:rsid w:val="00905AB5"/>
    <w:rsid w:val="00905DE2"/>
    <w:rsid w:val="00905FF7"/>
    <w:rsid w:val="00906141"/>
    <w:rsid w:val="009062C5"/>
    <w:rsid w:val="00906664"/>
    <w:rsid w:val="00906BFC"/>
    <w:rsid w:val="0090785E"/>
    <w:rsid w:val="00910E54"/>
    <w:rsid w:val="00913404"/>
    <w:rsid w:val="00914288"/>
    <w:rsid w:val="00914C21"/>
    <w:rsid w:val="00915EF1"/>
    <w:rsid w:val="00916864"/>
    <w:rsid w:val="00916C5F"/>
    <w:rsid w:val="00917829"/>
    <w:rsid w:val="00917CE9"/>
    <w:rsid w:val="0092100B"/>
    <w:rsid w:val="00923F15"/>
    <w:rsid w:val="00927624"/>
    <w:rsid w:val="00930081"/>
    <w:rsid w:val="00931D03"/>
    <w:rsid w:val="009333B4"/>
    <w:rsid w:val="009338AA"/>
    <w:rsid w:val="00933C86"/>
    <w:rsid w:val="00934202"/>
    <w:rsid w:val="009354D2"/>
    <w:rsid w:val="00935927"/>
    <w:rsid w:val="0093682C"/>
    <w:rsid w:val="0093688A"/>
    <w:rsid w:val="00936FAB"/>
    <w:rsid w:val="00937BC1"/>
    <w:rsid w:val="00937D98"/>
    <w:rsid w:val="009412ED"/>
    <w:rsid w:val="009416A1"/>
    <w:rsid w:val="0094187F"/>
    <w:rsid w:val="00942A95"/>
    <w:rsid w:val="00944C63"/>
    <w:rsid w:val="00945239"/>
    <w:rsid w:val="00947AF1"/>
    <w:rsid w:val="00947BCC"/>
    <w:rsid w:val="00951648"/>
    <w:rsid w:val="00952DFA"/>
    <w:rsid w:val="00953345"/>
    <w:rsid w:val="009534DC"/>
    <w:rsid w:val="00953556"/>
    <w:rsid w:val="00953561"/>
    <w:rsid w:val="0095381E"/>
    <w:rsid w:val="0095433D"/>
    <w:rsid w:val="009545BC"/>
    <w:rsid w:val="00954845"/>
    <w:rsid w:val="00957EBA"/>
    <w:rsid w:val="00960DE4"/>
    <w:rsid w:val="009611BB"/>
    <w:rsid w:val="00961D7A"/>
    <w:rsid w:val="00963343"/>
    <w:rsid w:val="009643DD"/>
    <w:rsid w:val="00964A44"/>
    <w:rsid w:val="00966BEC"/>
    <w:rsid w:val="00967F99"/>
    <w:rsid w:val="00970FD2"/>
    <w:rsid w:val="00973081"/>
    <w:rsid w:val="00975364"/>
    <w:rsid w:val="009757FB"/>
    <w:rsid w:val="009766C6"/>
    <w:rsid w:val="00976E31"/>
    <w:rsid w:val="0098243A"/>
    <w:rsid w:val="00985582"/>
    <w:rsid w:val="00985B5E"/>
    <w:rsid w:val="00986BA1"/>
    <w:rsid w:val="00987865"/>
    <w:rsid w:val="00990175"/>
    <w:rsid w:val="00991905"/>
    <w:rsid w:val="00991FD9"/>
    <w:rsid w:val="00992415"/>
    <w:rsid w:val="00992604"/>
    <w:rsid w:val="00992A29"/>
    <w:rsid w:val="00992BAB"/>
    <w:rsid w:val="009936B5"/>
    <w:rsid w:val="00995290"/>
    <w:rsid w:val="00996780"/>
    <w:rsid w:val="00996A3B"/>
    <w:rsid w:val="00996B84"/>
    <w:rsid w:val="00997FE3"/>
    <w:rsid w:val="009A1163"/>
    <w:rsid w:val="009A1945"/>
    <w:rsid w:val="009A2094"/>
    <w:rsid w:val="009A3715"/>
    <w:rsid w:val="009A471D"/>
    <w:rsid w:val="009A6664"/>
    <w:rsid w:val="009A755F"/>
    <w:rsid w:val="009A7F68"/>
    <w:rsid w:val="009B07B0"/>
    <w:rsid w:val="009B0C63"/>
    <w:rsid w:val="009B224C"/>
    <w:rsid w:val="009B2613"/>
    <w:rsid w:val="009B3366"/>
    <w:rsid w:val="009B3C0C"/>
    <w:rsid w:val="009B5557"/>
    <w:rsid w:val="009B5FD6"/>
    <w:rsid w:val="009B65FB"/>
    <w:rsid w:val="009B66B3"/>
    <w:rsid w:val="009B69EC"/>
    <w:rsid w:val="009B6C8E"/>
    <w:rsid w:val="009B6D5E"/>
    <w:rsid w:val="009B7A12"/>
    <w:rsid w:val="009B7AAD"/>
    <w:rsid w:val="009C03DF"/>
    <w:rsid w:val="009C0F0D"/>
    <w:rsid w:val="009C2E40"/>
    <w:rsid w:val="009C335E"/>
    <w:rsid w:val="009C5373"/>
    <w:rsid w:val="009C5B6A"/>
    <w:rsid w:val="009C64DC"/>
    <w:rsid w:val="009D02A3"/>
    <w:rsid w:val="009D2467"/>
    <w:rsid w:val="009D2A93"/>
    <w:rsid w:val="009D2FF2"/>
    <w:rsid w:val="009D30A6"/>
    <w:rsid w:val="009D3DDA"/>
    <w:rsid w:val="009D41C4"/>
    <w:rsid w:val="009D4C05"/>
    <w:rsid w:val="009D57C1"/>
    <w:rsid w:val="009E06A2"/>
    <w:rsid w:val="009E0B36"/>
    <w:rsid w:val="009E1B22"/>
    <w:rsid w:val="009E37AA"/>
    <w:rsid w:val="009E4396"/>
    <w:rsid w:val="009E46F1"/>
    <w:rsid w:val="009E4A0F"/>
    <w:rsid w:val="009E504B"/>
    <w:rsid w:val="009E6F91"/>
    <w:rsid w:val="009F0613"/>
    <w:rsid w:val="009F08CF"/>
    <w:rsid w:val="009F0B67"/>
    <w:rsid w:val="009F1AAD"/>
    <w:rsid w:val="009F20D2"/>
    <w:rsid w:val="009F20E9"/>
    <w:rsid w:val="009F3669"/>
    <w:rsid w:val="009F3BF3"/>
    <w:rsid w:val="009F45E8"/>
    <w:rsid w:val="009F50CD"/>
    <w:rsid w:val="009F56F6"/>
    <w:rsid w:val="009F7EF8"/>
    <w:rsid w:val="00A0214B"/>
    <w:rsid w:val="00A022EE"/>
    <w:rsid w:val="00A025E1"/>
    <w:rsid w:val="00A02D84"/>
    <w:rsid w:val="00A03873"/>
    <w:rsid w:val="00A043AF"/>
    <w:rsid w:val="00A045EB"/>
    <w:rsid w:val="00A054A6"/>
    <w:rsid w:val="00A065B4"/>
    <w:rsid w:val="00A073DB"/>
    <w:rsid w:val="00A117EA"/>
    <w:rsid w:val="00A122F7"/>
    <w:rsid w:val="00A13971"/>
    <w:rsid w:val="00A14212"/>
    <w:rsid w:val="00A14675"/>
    <w:rsid w:val="00A148B6"/>
    <w:rsid w:val="00A14E8E"/>
    <w:rsid w:val="00A15A04"/>
    <w:rsid w:val="00A16124"/>
    <w:rsid w:val="00A1779E"/>
    <w:rsid w:val="00A20A1A"/>
    <w:rsid w:val="00A228C8"/>
    <w:rsid w:val="00A23106"/>
    <w:rsid w:val="00A23F81"/>
    <w:rsid w:val="00A24D6A"/>
    <w:rsid w:val="00A25108"/>
    <w:rsid w:val="00A25121"/>
    <w:rsid w:val="00A262EB"/>
    <w:rsid w:val="00A26BCE"/>
    <w:rsid w:val="00A27B08"/>
    <w:rsid w:val="00A27E22"/>
    <w:rsid w:val="00A32C42"/>
    <w:rsid w:val="00A34229"/>
    <w:rsid w:val="00A3470D"/>
    <w:rsid w:val="00A35F5C"/>
    <w:rsid w:val="00A367D0"/>
    <w:rsid w:val="00A3753D"/>
    <w:rsid w:val="00A37CF1"/>
    <w:rsid w:val="00A40EDE"/>
    <w:rsid w:val="00A411C0"/>
    <w:rsid w:val="00A418D6"/>
    <w:rsid w:val="00A41BCC"/>
    <w:rsid w:val="00A41FA7"/>
    <w:rsid w:val="00A4360F"/>
    <w:rsid w:val="00A43D0D"/>
    <w:rsid w:val="00A4452A"/>
    <w:rsid w:val="00A454CB"/>
    <w:rsid w:val="00A455C9"/>
    <w:rsid w:val="00A46137"/>
    <w:rsid w:val="00A46151"/>
    <w:rsid w:val="00A464CA"/>
    <w:rsid w:val="00A466D8"/>
    <w:rsid w:val="00A46730"/>
    <w:rsid w:val="00A467BE"/>
    <w:rsid w:val="00A470BF"/>
    <w:rsid w:val="00A47708"/>
    <w:rsid w:val="00A50496"/>
    <w:rsid w:val="00A508C9"/>
    <w:rsid w:val="00A50DD1"/>
    <w:rsid w:val="00A526B2"/>
    <w:rsid w:val="00A52908"/>
    <w:rsid w:val="00A53284"/>
    <w:rsid w:val="00A556F6"/>
    <w:rsid w:val="00A56541"/>
    <w:rsid w:val="00A56E7E"/>
    <w:rsid w:val="00A6020D"/>
    <w:rsid w:val="00A60DDB"/>
    <w:rsid w:val="00A60FAE"/>
    <w:rsid w:val="00A6116A"/>
    <w:rsid w:val="00A61FEB"/>
    <w:rsid w:val="00A62157"/>
    <w:rsid w:val="00A62FD8"/>
    <w:rsid w:val="00A656B4"/>
    <w:rsid w:val="00A65845"/>
    <w:rsid w:val="00A65909"/>
    <w:rsid w:val="00A65AD9"/>
    <w:rsid w:val="00A668BC"/>
    <w:rsid w:val="00A6789A"/>
    <w:rsid w:val="00A67960"/>
    <w:rsid w:val="00A67ED5"/>
    <w:rsid w:val="00A70977"/>
    <w:rsid w:val="00A71040"/>
    <w:rsid w:val="00A719DA"/>
    <w:rsid w:val="00A71A5E"/>
    <w:rsid w:val="00A72965"/>
    <w:rsid w:val="00A73198"/>
    <w:rsid w:val="00A73F64"/>
    <w:rsid w:val="00A7510F"/>
    <w:rsid w:val="00A76D00"/>
    <w:rsid w:val="00A76F2E"/>
    <w:rsid w:val="00A77EBE"/>
    <w:rsid w:val="00A8182E"/>
    <w:rsid w:val="00A82B3B"/>
    <w:rsid w:val="00A83120"/>
    <w:rsid w:val="00A83D19"/>
    <w:rsid w:val="00A85E11"/>
    <w:rsid w:val="00A87640"/>
    <w:rsid w:val="00A87DF3"/>
    <w:rsid w:val="00A91062"/>
    <w:rsid w:val="00A91444"/>
    <w:rsid w:val="00A917BB"/>
    <w:rsid w:val="00A9272A"/>
    <w:rsid w:val="00A92906"/>
    <w:rsid w:val="00A93080"/>
    <w:rsid w:val="00A9421C"/>
    <w:rsid w:val="00A94227"/>
    <w:rsid w:val="00A94956"/>
    <w:rsid w:val="00A951A7"/>
    <w:rsid w:val="00A95431"/>
    <w:rsid w:val="00A97524"/>
    <w:rsid w:val="00AA0F90"/>
    <w:rsid w:val="00AA136E"/>
    <w:rsid w:val="00AA15E0"/>
    <w:rsid w:val="00AA3E2C"/>
    <w:rsid w:val="00AA502B"/>
    <w:rsid w:val="00AA633A"/>
    <w:rsid w:val="00AA6CFB"/>
    <w:rsid w:val="00AA7095"/>
    <w:rsid w:val="00AB0518"/>
    <w:rsid w:val="00AB069D"/>
    <w:rsid w:val="00AB099D"/>
    <w:rsid w:val="00AB0B8C"/>
    <w:rsid w:val="00AB1A7B"/>
    <w:rsid w:val="00AB2098"/>
    <w:rsid w:val="00AB2636"/>
    <w:rsid w:val="00AB2CB2"/>
    <w:rsid w:val="00AB2ED8"/>
    <w:rsid w:val="00AB3C50"/>
    <w:rsid w:val="00AB442B"/>
    <w:rsid w:val="00AB4A25"/>
    <w:rsid w:val="00AB4C55"/>
    <w:rsid w:val="00AB5AF4"/>
    <w:rsid w:val="00AB5D7A"/>
    <w:rsid w:val="00AB7084"/>
    <w:rsid w:val="00AB777B"/>
    <w:rsid w:val="00AB7843"/>
    <w:rsid w:val="00AB7D16"/>
    <w:rsid w:val="00AB7E79"/>
    <w:rsid w:val="00AC0248"/>
    <w:rsid w:val="00AC190A"/>
    <w:rsid w:val="00AC1A45"/>
    <w:rsid w:val="00AC218D"/>
    <w:rsid w:val="00AC28C9"/>
    <w:rsid w:val="00AC2D5F"/>
    <w:rsid w:val="00AC3FE2"/>
    <w:rsid w:val="00AC4999"/>
    <w:rsid w:val="00AC6226"/>
    <w:rsid w:val="00AD09BA"/>
    <w:rsid w:val="00AD138F"/>
    <w:rsid w:val="00AD1B2F"/>
    <w:rsid w:val="00AD1ECE"/>
    <w:rsid w:val="00AD2AE5"/>
    <w:rsid w:val="00AD3F04"/>
    <w:rsid w:val="00AD42ED"/>
    <w:rsid w:val="00AD4827"/>
    <w:rsid w:val="00AD5FBD"/>
    <w:rsid w:val="00AD6354"/>
    <w:rsid w:val="00AD6824"/>
    <w:rsid w:val="00AE0068"/>
    <w:rsid w:val="00AE0211"/>
    <w:rsid w:val="00AE1560"/>
    <w:rsid w:val="00AE2151"/>
    <w:rsid w:val="00AE227F"/>
    <w:rsid w:val="00AE2893"/>
    <w:rsid w:val="00AE2B67"/>
    <w:rsid w:val="00AE388B"/>
    <w:rsid w:val="00AE3B8E"/>
    <w:rsid w:val="00AE42E5"/>
    <w:rsid w:val="00AE4F07"/>
    <w:rsid w:val="00AE5340"/>
    <w:rsid w:val="00AE5CAB"/>
    <w:rsid w:val="00AE7217"/>
    <w:rsid w:val="00AE75BA"/>
    <w:rsid w:val="00AE75CA"/>
    <w:rsid w:val="00AE7CE7"/>
    <w:rsid w:val="00AF08D9"/>
    <w:rsid w:val="00AF1777"/>
    <w:rsid w:val="00AF1F2A"/>
    <w:rsid w:val="00AF268E"/>
    <w:rsid w:val="00AF3C7D"/>
    <w:rsid w:val="00AF5467"/>
    <w:rsid w:val="00AF5625"/>
    <w:rsid w:val="00AF5DD0"/>
    <w:rsid w:val="00AF6A4F"/>
    <w:rsid w:val="00AF6BA7"/>
    <w:rsid w:val="00AF715A"/>
    <w:rsid w:val="00B00EF5"/>
    <w:rsid w:val="00B01A7E"/>
    <w:rsid w:val="00B01CF1"/>
    <w:rsid w:val="00B028FD"/>
    <w:rsid w:val="00B0447C"/>
    <w:rsid w:val="00B05FEB"/>
    <w:rsid w:val="00B06C16"/>
    <w:rsid w:val="00B10A62"/>
    <w:rsid w:val="00B11E5F"/>
    <w:rsid w:val="00B12314"/>
    <w:rsid w:val="00B13506"/>
    <w:rsid w:val="00B13A03"/>
    <w:rsid w:val="00B14A9B"/>
    <w:rsid w:val="00B15838"/>
    <w:rsid w:val="00B158BF"/>
    <w:rsid w:val="00B16B37"/>
    <w:rsid w:val="00B16B9A"/>
    <w:rsid w:val="00B16C41"/>
    <w:rsid w:val="00B16C5F"/>
    <w:rsid w:val="00B202EF"/>
    <w:rsid w:val="00B2129B"/>
    <w:rsid w:val="00B21BAD"/>
    <w:rsid w:val="00B22818"/>
    <w:rsid w:val="00B2305D"/>
    <w:rsid w:val="00B26DD8"/>
    <w:rsid w:val="00B27EEB"/>
    <w:rsid w:val="00B31D7F"/>
    <w:rsid w:val="00B3228C"/>
    <w:rsid w:val="00B32479"/>
    <w:rsid w:val="00B32B02"/>
    <w:rsid w:val="00B32F31"/>
    <w:rsid w:val="00B333E1"/>
    <w:rsid w:val="00B35717"/>
    <w:rsid w:val="00B36105"/>
    <w:rsid w:val="00B3736F"/>
    <w:rsid w:val="00B374C6"/>
    <w:rsid w:val="00B37527"/>
    <w:rsid w:val="00B3752B"/>
    <w:rsid w:val="00B40A04"/>
    <w:rsid w:val="00B42679"/>
    <w:rsid w:val="00B42AE4"/>
    <w:rsid w:val="00B4378B"/>
    <w:rsid w:val="00B44332"/>
    <w:rsid w:val="00B45DE3"/>
    <w:rsid w:val="00B465E2"/>
    <w:rsid w:val="00B4674B"/>
    <w:rsid w:val="00B4763B"/>
    <w:rsid w:val="00B50150"/>
    <w:rsid w:val="00B501C7"/>
    <w:rsid w:val="00B525AE"/>
    <w:rsid w:val="00B52D9D"/>
    <w:rsid w:val="00B55958"/>
    <w:rsid w:val="00B55F4A"/>
    <w:rsid w:val="00B564FB"/>
    <w:rsid w:val="00B56538"/>
    <w:rsid w:val="00B56917"/>
    <w:rsid w:val="00B56975"/>
    <w:rsid w:val="00B571C9"/>
    <w:rsid w:val="00B607B5"/>
    <w:rsid w:val="00B61A17"/>
    <w:rsid w:val="00B61DD4"/>
    <w:rsid w:val="00B62B5B"/>
    <w:rsid w:val="00B62B92"/>
    <w:rsid w:val="00B65EAC"/>
    <w:rsid w:val="00B66712"/>
    <w:rsid w:val="00B66BE1"/>
    <w:rsid w:val="00B67110"/>
    <w:rsid w:val="00B70A2A"/>
    <w:rsid w:val="00B729A7"/>
    <w:rsid w:val="00B72EA0"/>
    <w:rsid w:val="00B7406A"/>
    <w:rsid w:val="00B74B72"/>
    <w:rsid w:val="00B74F4B"/>
    <w:rsid w:val="00B7577D"/>
    <w:rsid w:val="00B75EEF"/>
    <w:rsid w:val="00B760B3"/>
    <w:rsid w:val="00B7631A"/>
    <w:rsid w:val="00B7695C"/>
    <w:rsid w:val="00B76BCE"/>
    <w:rsid w:val="00B77487"/>
    <w:rsid w:val="00B77B16"/>
    <w:rsid w:val="00B802B1"/>
    <w:rsid w:val="00B8145B"/>
    <w:rsid w:val="00B83CCF"/>
    <w:rsid w:val="00B83E01"/>
    <w:rsid w:val="00B849FA"/>
    <w:rsid w:val="00B84CC5"/>
    <w:rsid w:val="00B861BB"/>
    <w:rsid w:val="00B865E3"/>
    <w:rsid w:val="00B8667B"/>
    <w:rsid w:val="00B86CDE"/>
    <w:rsid w:val="00B873FC"/>
    <w:rsid w:val="00B879C6"/>
    <w:rsid w:val="00B900D8"/>
    <w:rsid w:val="00B90290"/>
    <w:rsid w:val="00B90335"/>
    <w:rsid w:val="00B9055B"/>
    <w:rsid w:val="00B90F6D"/>
    <w:rsid w:val="00B913CA"/>
    <w:rsid w:val="00B91737"/>
    <w:rsid w:val="00B91CDE"/>
    <w:rsid w:val="00B92660"/>
    <w:rsid w:val="00B931E0"/>
    <w:rsid w:val="00B93463"/>
    <w:rsid w:val="00B934D1"/>
    <w:rsid w:val="00B938C5"/>
    <w:rsid w:val="00B943F9"/>
    <w:rsid w:val="00B94ACA"/>
    <w:rsid w:val="00B95EBC"/>
    <w:rsid w:val="00B97D05"/>
    <w:rsid w:val="00BA2AC9"/>
    <w:rsid w:val="00BA3E12"/>
    <w:rsid w:val="00BA49EA"/>
    <w:rsid w:val="00BA57CA"/>
    <w:rsid w:val="00BA595E"/>
    <w:rsid w:val="00BA5F54"/>
    <w:rsid w:val="00BA6500"/>
    <w:rsid w:val="00BA673F"/>
    <w:rsid w:val="00BA7D61"/>
    <w:rsid w:val="00BB0CD5"/>
    <w:rsid w:val="00BB1CD9"/>
    <w:rsid w:val="00BB2307"/>
    <w:rsid w:val="00BB52B0"/>
    <w:rsid w:val="00BB5ED3"/>
    <w:rsid w:val="00BB7259"/>
    <w:rsid w:val="00BB75DE"/>
    <w:rsid w:val="00BC0ED5"/>
    <w:rsid w:val="00BC106A"/>
    <w:rsid w:val="00BC2A27"/>
    <w:rsid w:val="00BC33BB"/>
    <w:rsid w:val="00BC34FB"/>
    <w:rsid w:val="00BC35CB"/>
    <w:rsid w:val="00BC3900"/>
    <w:rsid w:val="00BC3CAD"/>
    <w:rsid w:val="00BC3CF4"/>
    <w:rsid w:val="00BC41A6"/>
    <w:rsid w:val="00BC42B8"/>
    <w:rsid w:val="00BC4CFA"/>
    <w:rsid w:val="00BC4D8C"/>
    <w:rsid w:val="00BC595E"/>
    <w:rsid w:val="00BC61AB"/>
    <w:rsid w:val="00BC6455"/>
    <w:rsid w:val="00BC65D2"/>
    <w:rsid w:val="00BC6656"/>
    <w:rsid w:val="00BC6DD4"/>
    <w:rsid w:val="00BC7F71"/>
    <w:rsid w:val="00BD03D9"/>
    <w:rsid w:val="00BD0CD2"/>
    <w:rsid w:val="00BD1216"/>
    <w:rsid w:val="00BD2EBB"/>
    <w:rsid w:val="00BD3236"/>
    <w:rsid w:val="00BD37DB"/>
    <w:rsid w:val="00BD4869"/>
    <w:rsid w:val="00BD5B3B"/>
    <w:rsid w:val="00BD67B3"/>
    <w:rsid w:val="00BD7CF9"/>
    <w:rsid w:val="00BE0F66"/>
    <w:rsid w:val="00BE1672"/>
    <w:rsid w:val="00BE1889"/>
    <w:rsid w:val="00BE1E6A"/>
    <w:rsid w:val="00BE34C3"/>
    <w:rsid w:val="00BE4929"/>
    <w:rsid w:val="00BF1028"/>
    <w:rsid w:val="00BF1918"/>
    <w:rsid w:val="00BF2A27"/>
    <w:rsid w:val="00BF5335"/>
    <w:rsid w:val="00BF57DF"/>
    <w:rsid w:val="00BF5816"/>
    <w:rsid w:val="00BF5B08"/>
    <w:rsid w:val="00BF69EA"/>
    <w:rsid w:val="00BF6BC9"/>
    <w:rsid w:val="00C0005F"/>
    <w:rsid w:val="00C009EB"/>
    <w:rsid w:val="00C00CE8"/>
    <w:rsid w:val="00C014DC"/>
    <w:rsid w:val="00C0190F"/>
    <w:rsid w:val="00C029BA"/>
    <w:rsid w:val="00C030CB"/>
    <w:rsid w:val="00C03154"/>
    <w:rsid w:val="00C03216"/>
    <w:rsid w:val="00C0325C"/>
    <w:rsid w:val="00C03AE8"/>
    <w:rsid w:val="00C03AFD"/>
    <w:rsid w:val="00C05A62"/>
    <w:rsid w:val="00C06864"/>
    <w:rsid w:val="00C106AF"/>
    <w:rsid w:val="00C11D5E"/>
    <w:rsid w:val="00C11DB4"/>
    <w:rsid w:val="00C12636"/>
    <w:rsid w:val="00C12EAE"/>
    <w:rsid w:val="00C13027"/>
    <w:rsid w:val="00C13663"/>
    <w:rsid w:val="00C1417E"/>
    <w:rsid w:val="00C1478B"/>
    <w:rsid w:val="00C1546C"/>
    <w:rsid w:val="00C158DB"/>
    <w:rsid w:val="00C15D26"/>
    <w:rsid w:val="00C16376"/>
    <w:rsid w:val="00C1670E"/>
    <w:rsid w:val="00C16DB2"/>
    <w:rsid w:val="00C17576"/>
    <w:rsid w:val="00C20B36"/>
    <w:rsid w:val="00C23867"/>
    <w:rsid w:val="00C238AE"/>
    <w:rsid w:val="00C2460B"/>
    <w:rsid w:val="00C25AD4"/>
    <w:rsid w:val="00C263AB"/>
    <w:rsid w:val="00C26F59"/>
    <w:rsid w:val="00C27472"/>
    <w:rsid w:val="00C27906"/>
    <w:rsid w:val="00C27A46"/>
    <w:rsid w:val="00C27F28"/>
    <w:rsid w:val="00C3039C"/>
    <w:rsid w:val="00C30D3D"/>
    <w:rsid w:val="00C337AF"/>
    <w:rsid w:val="00C33E2C"/>
    <w:rsid w:val="00C3410B"/>
    <w:rsid w:val="00C34B2E"/>
    <w:rsid w:val="00C3501E"/>
    <w:rsid w:val="00C35A3E"/>
    <w:rsid w:val="00C360DC"/>
    <w:rsid w:val="00C377CD"/>
    <w:rsid w:val="00C41DD0"/>
    <w:rsid w:val="00C43545"/>
    <w:rsid w:val="00C447DB"/>
    <w:rsid w:val="00C46E9D"/>
    <w:rsid w:val="00C47B96"/>
    <w:rsid w:val="00C47BEB"/>
    <w:rsid w:val="00C50414"/>
    <w:rsid w:val="00C51CBC"/>
    <w:rsid w:val="00C51D6D"/>
    <w:rsid w:val="00C51E66"/>
    <w:rsid w:val="00C52A5E"/>
    <w:rsid w:val="00C535AE"/>
    <w:rsid w:val="00C53D38"/>
    <w:rsid w:val="00C55C1E"/>
    <w:rsid w:val="00C56F5E"/>
    <w:rsid w:val="00C60747"/>
    <w:rsid w:val="00C6151A"/>
    <w:rsid w:val="00C6325E"/>
    <w:rsid w:val="00C6345E"/>
    <w:rsid w:val="00C64401"/>
    <w:rsid w:val="00C64810"/>
    <w:rsid w:val="00C64D5B"/>
    <w:rsid w:val="00C6517B"/>
    <w:rsid w:val="00C67719"/>
    <w:rsid w:val="00C6775D"/>
    <w:rsid w:val="00C67B92"/>
    <w:rsid w:val="00C70529"/>
    <w:rsid w:val="00C72030"/>
    <w:rsid w:val="00C727A8"/>
    <w:rsid w:val="00C7335D"/>
    <w:rsid w:val="00C73A0D"/>
    <w:rsid w:val="00C74383"/>
    <w:rsid w:val="00C74981"/>
    <w:rsid w:val="00C74A4D"/>
    <w:rsid w:val="00C74E04"/>
    <w:rsid w:val="00C7525C"/>
    <w:rsid w:val="00C75741"/>
    <w:rsid w:val="00C763F4"/>
    <w:rsid w:val="00C77A70"/>
    <w:rsid w:val="00C80E27"/>
    <w:rsid w:val="00C8195D"/>
    <w:rsid w:val="00C83160"/>
    <w:rsid w:val="00C84046"/>
    <w:rsid w:val="00C850E5"/>
    <w:rsid w:val="00C85146"/>
    <w:rsid w:val="00C86C66"/>
    <w:rsid w:val="00C86F41"/>
    <w:rsid w:val="00C86F8D"/>
    <w:rsid w:val="00C87F29"/>
    <w:rsid w:val="00C905C7"/>
    <w:rsid w:val="00C90711"/>
    <w:rsid w:val="00C9120C"/>
    <w:rsid w:val="00C91AEC"/>
    <w:rsid w:val="00C91BA7"/>
    <w:rsid w:val="00C92031"/>
    <w:rsid w:val="00C9227B"/>
    <w:rsid w:val="00C93108"/>
    <w:rsid w:val="00C93499"/>
    <w:rsid w:val="00C93A21"/>
    <w:rsid w:val="00C940DB"/>
    <w:rsid w:val="00C957BF"/>
    <w:rsid w:val="00C959F2"/>
    <w:rsid w:val="00C9748B"/>
    <w:rsid w:val="00C9779F"/>
    <w:rsid w:val="00C97D40"/>
    <w:rsid w:val="00CA0186"/>
    <w:rsid w:val="00CA019E"/>
    <w:rsid w:val="00CA02F8"/>
    <w:rsid w:val="00CA04F1"/>
    <w:rsid w:val="00CA057A"/>
    <w:rsid w:val="00CA1811"/>
    <w:rsid w:val="00CA1E90"/>
    <w:rsid w:val="00CA33FB"/>
    <w:rsid w:val="00CA3737"/>
    <w:rsid w:val="00CA4FAF"/>
    <w:rsid w:val="00CA606A"/>
    <w:rsid w:val="00CA705C"/>
    <w:rsid w:val="00CB04E9"/>
    <w:rsid w:val="00CB19BB"/>
    <w:rsid w:val="00CB2D25"/>
    <w:rsid w:val="00CB2E36"/>
    <w:rsid w:val="00CB4F52"/>
    <w:rsid w:val="00CB5B58"/>
    <w:rsid w:val="00CB6C69"/>
    <w:rsid w:val="00CB70AA"/>
    <w:rsid w:val="00CB759A"/>
    <w:rsid w:val="00CC021A"/>
    <w:rsid w:val="00CC02BB"/>
    <w:rsid w:val="00CC1979"/>
    <w:rsid w:val="00CC4827"/>
    <w:rsid w:val="00CC4E11"/>
    <w:rsid w:val="00CC4E7B"/>
    <w:rsid w:val="00CC62E5"/>
    <w:rsid w:val="00CC7F04"/>
    <w:rsid w:val="00CD00BD"/>
    <w:rsid w:val="00CD17F7"/>
    <w:rsid w:val="00CD30A4"/>
    <w:rsid w:val="00CD3F2D"/>
    <w:rsid w:val="00CD402B"/>
    <w:rsid w:val="00CD47DF"/>
    <w:rsid w:val="00CD5637"/>
    <w:rsid w:val="00CD62E0"/>
    <w:rsid w:val="00CD66B8"/>
    <w:rsid w:val="00CD69B4"/>
    <w:rsid w:val="00CD731D"/>
    <w:rsid w:val="00CD7639"/>
    <w:rsid w:val="00CD76C1"/>
    <w:rsid w:val="00CD7A1B"/>
    <w:rsid w:val="00CD7A6C"/>
    <w:rsid w:val="00CE0268"/>
    <w:rsid w:val="00CE0771"/>
    <w:rsid w:val="00CE0992"/>
    <w:rsid w:val="00CE15C3"/>
    <w:rsid w:val="00CE3ED0"/>
    <w:rsid w:val="00CE4C37"/>
    <w:rsid w:val="00CE5777"/>
    <w:rsid w:val="00CE5C9C"/>
    <w:rsid w:val="00CE5CF9"/>
    <w:rsid w:val="00CE6432"/>
    <w:rsid w:val="00CE75F2"/>
    <w:rsid w:val="00CE7FF1"/>
    <w:rsid w:val="00CF2DF0"/>
    <w:rsid w:val="00CF42AD"/>
    <w:rsid w:val="00CF49F8"/>
    <w:rsid w:val="00CF549A"/>
    <w:rsid w:val="00CF7F31"/>
    <w:rsid w:val="00D009B4"/>
    <w:rsid w:val="00D009DA"/>
    <w:rsid w:val="00D01127"/>
    <w:rsid w:val="00D0134D"/>
    <w:rsid w:val="00D01C50"/>
    <w:rsid w:val="00D02514"/>
    <w:rsid w:val="00D026CC"/>
    <w:rsid w:val="00D04E2D"/>
    <w:rsid w:val="00D061BF"/>
    <w:rsid w:val="00D0721C"/>
    <w:rsid w:val="00D07A2A"/>
    <w:rsid w:val="00D105ED"/>
    <w:rsid w:val="00D109B0"/>
    <w:rsid w:val="00D10F03"/>
    <w:rsid w:val="00D11279"/>
    <w:rsid w:val="00D1452A"/>
    <w:rsid w:val="00D1703F"/>
    <w:rsid w:val="00D20C62"/>
    <w:rsid w:val="00D21D6B"/>
    <w:rsid w:val="00D21E1D"/>
    <w:rsid w:val="00D244DC"/>
    <w:rsid w:val="00D24797"/>
    <w:rsid w:val="00D24C51"/>
    <w:rsid w:val="00D26F41"/>
    <w:rsid w:val="00D27620"/>
    <w:rsid w:val="00D2779F"/>
    <w:rsid w:val="00D27C57"/>
    <w:rsid w:val="00D3024B"/>
    <w:rsid w:val="00D30D1F"/>
    <w:rsid w:val="00D32E86"/>
    <w:rsid w:val="00D340A3"/>
    <w:rsid w:val="00D344D2"/>
    <w:rsid w:val="00D35F56"/>
    <w:rsid w:val="00D368B6"/>
    <w:rsid w:val="00D369CD"/>
    <w:rsid w:val="00D36F97"/>
    <w:rsid w:val="00D37657"/>
    <w:rsid w:val="00D41136"/>
    <w:rsid w:val="00D4268C"/>
    <w:rsid w:val="00D42913"/>
    <w:rsid w:val="00D43176"/>
    <w:rsid w:val="00D4422C"/>
    <w:rsid w:val="00D45615"/>
    <w:rsid w:val="00D4595E"/>
    <w:rsid w:val="00D46207"/>
    <w:rsid w:val="00D46CAF"/>
    <w:rsid w:val="00D47473"/>
    <w:rsid w:val="00D479FC"/>
    <w:rsid w:val="00D50507"/>
    <w:rsid w:val="00D51829"/>
    <w:rsid w:val="00D519C0"/>
    <w:rsid w:val="00D548C5"/>
    <w:rsid w:val="00D55ECF"/>
    <w:rsid w:val="00D5680B"/>
    <w:rsid w:val="00D56AB2"/>
    <w:rsid w:val="00D60BA1"/>
    <w:rsid w:val="00D60F57"/>
    <w:rsid w:val="00D623CA"/>
    <w:rsid w:val="00D63F77"/>
    <w:rsid w:val="00D6752E"/>
    <w:rsid w:val="00D67AD1"/>
    <w:rsid w:val="00D71E74"/>
    <w:rsid w:val="00D730E4"/>
    <w:rsid w:val="00D73671"/>
    <w:rsid w:val="00D73F9D"/>
    <w:rsid w:val="00D740AD"/>
    <w:rsid w:val="00D74C91"/>
    <w:rsid w:val="00D76097"/>
    <w:rsid w:val="00D76DE1"/>
    <w:rsid w:val="00D7727C"/>
    <w:rsid w:val="00D772CE"/>
    <w:rsid w:val="00D77496"/>
    <w:rsid w:val="00D7754C"/>
    <w:rsid w:val="00D802BC"/>
    <w:rsid w:val="00D80E94"/>
    <w:rsid w:val="00D81347"/>
    <w:rsid w:val="00D81405"/>
    <w:rsid w:val="00D82FDE"/>
    <w:rsid w:val="00D84442"/>
    <w:rsid w:val="00D84B98"/>
    <w:rsid w:val="00D856B6"/>
    <w:rsid w:val="00D8655E"/>
    <w:rsid w:val="00D865E2"/>
    <w:rsid w:val="00D86CC6"/>
    <w:rsid w:val="00D928A6"/>
    <w:rsid w:val="00D92901"/>
    <w:rsid w:val="00D9386D"/>
    <w:rsid w:val="00D93C90"/>
    <w:rsid w:val="00D94514"/>
    <w:rsid w:val="00D94608"/>
    <w:rsid w:val="00D946EE"/>
    <w:rsid w:val="00D951DA"/>
    <w:rsid w:val="00D954AC"/>
    <w:rsid w:val="00D964EF"/>
    <w:rsid w:val="00D97A63"/>
    <w:rsid w:val="00D97ABE"/>
    <w:rsid w:val="00DA1459"/>
    <w:rsid w:val="00DA1D05"/>
    <w:rsid w:val="00DA1FB6"/>
    <w:rsid w:val="00DA27B2"/>
    <w:rsid w:val="00DA2DBA"/>
    <w:rsid w:val="00DA3528"/>
    <w:rsid w:val="00DA3CF0"/>
    <w:rsid w:val="00DA6440"/>
    <w:rsid w:val="00DA7065"/>
    <w:rsid w:val="00DB0843"/>
    <w:rsid w:val="00DB26C2"/>
    <w:rsid w:val="00DB293F"/>
    <w:rsid w:val="00DB2DCE"/>
    <w:rsid w:val="00DB395E"/>
    <w:rsid w:val="00DB41BE"/>
    <w:rsid w:val="00DB440D"/>
    <w:rsid w:val="00DB44FC"/>
    <w:rsid w:val="00DB4FF7"/>
    <w:rsid w:val="00DB57CD"/>
    <w:rsid w:val="00DB6A25"/>
    <w:rsid w:val="00DB71F8"/>
    <w:rsid w:val="00DC0E3F"/>
    <w:rsid w:val="00DC1565"/>
    <w:rsid w:val="00DC1BB9"/>
    <w:rsid w:val="00DC2BE0"/>
    <w:rsid w:val="00DC59EA"/>
    <w:rsid w:val="00DC6029"/>
    <w:rsid w:val="00DD127D"/>
    <w:rsid w:val="00DD3C45"/>
    <w:rsid w:val="00DD4655"/>
    <w:rsid w:val="00DD496F"/>
    <w:rsid w:val="00DD639E"/>
    <w:rsid w:val="00DD7487"/>
    <w:rsid w:val="00DE0676"/>
    <w:rsid w:val="00DE12BA"/>
    <w:rsid w:val="00DE1529"/>
    <w:rsid w:val="00DE16CE"/>
    <w:rsid w:val="00DE17E6"/>
    <w:rsid w:val="00DE3270"/>
    <w:rsid w:val="00DE3B54"/>
    <w:rsid w:val="00DE6953"/>
    <w:rsid w:val="00DE6A7A"/>
    <w:rsid w:val="00DE7419"/>
    <w:rsid w:val="00DE7B21"/>
    <w:rsid w:val="00DE7E6D"/>
    <w:rsid w:val="00DF03C5"/>
    <w:rsid w:val="00DF147F"/>
    <w:rsid w:val="00DF5075"/>
    <w:rsid w:val="00DF6BEE"/>
    <w:rsid w:val="00E002B0"/>
    <w:rsid w:val="00E00874"/>
    <w:rsid w:val="00E00B72"/>
    <w:rsid w:val="00E01A25"/>
    <w:rsid w:val="00E01F76"/>
    <w:rsid w:val="00E0359F"/>
    <w:rsid w:val="00E04D68"/>
    <w:rsid w:val="00E0645D"/>
    <w:rsid w:val="00E06918"/>
    <w:rsid w:val="00E07B78"/>
    <w:rsid w:val="00E07DF1"/>
    <w:rsid w:val="00E1014F"/>
    <w:rsid w:val="00E1118B"/>
    <w:rsid w:val="00E1133C"/>
    <w:rsid w:val="00E11666"/>
    <w:rsid w:val="00E12054"/>
    <w:rsid w:val="00E12098"/>
    <w:rsid w:val="00E1279D"/>
    <w:rsid w:val="00E12ADD"/>
    <w:rsid w:val="00E14BD9"/>
    <w:rsid w:val="00E14F7E"/>
    <w:rsid w:val="00E15089"/>
    <w:rsid w:val="00E15CA5"/>
    <w:rsid w:val="00E15CE3"/>
    <w:rsid w:val="00E15E1C"/>
    <w:rsid w:val="00E167B3"/>
    <w:rsid w:val="00E211CC"/>
    <w:rsid w:val="00E216B8"/>
    <w:rsid w:val="00E2200A"/>
    <w:rsid w:val="00E220C3"/>
    <w:rsid w:val="00E22DEB"/>
    <w:rsid w:val="00E234CE"/>
    <w:rsid w:val="00E24BBE"/>
    <w:rsid w:val="00E2585D"/>
    <w:rsid w:val="00E259AB"/>
    <w:rsid w:val="00E263AA"/>
    <w:rsid w:val="00E27215"/>
    <w:rsid w:val="00E310FB"/>
    <w:rsid w:val="00E3123D"/>
    <w:rsid w:val="00E3124E"/>
    <w:rsid w:val="00E31B97"/>
    <w:rsid w:val="00E31C2D"/>
    <w:rsid w:val="00E321D5"/>
    <w:rsid w:val="00E322E7"/>
    <w:rsid w:val="00E337CC"/>
    <w:rsid w:val="00E33E1A"/>
    <w:rsid w:val="00E356D3"/>
    <w:rsid w:val="00E35CA6"/>
    <w:rsid w:val="00E37A2D"/>
    <w:rsid w:val="00E41559"/>
    <w:rsid w:val="00E422D8"/>
    <w:rsid w:val="00E43903"/>
    <w:rsid w:val="00E43FE3"/>
    <w:rsid w:val="00E452BB"/>
    <w:rsid w:val="00E458DB"/>
    <w:rsid w:val="00E46A5F"/>
    <w:rsid w:val="00E46A89"/>
    <w:rsid w:val="00E4719F"/>
    <w:rsid w:val="00E47AD4"/>
    <w:rsid w:val="00E47E7A"/>
    <w:rsid w:val="00E47EAE"/>
    <w:rsid w:val="00E50096"/>
    <w:rsid w:val="00E50F0B"/>
    <w:rsid w:val="00E519E3"/>
    <w:rsid w:val="00E54321"/>
    <w:rsid w:val="00E543F6"/>
    <w:rsid w:val="00E553F5"/>
    <w:rsid w:val="00E55F8E"/>
    <w:rsid w:val="00E56200"/>
    <w:rsid w:val="00E574FE"/>
    <w:rsid w:val="00E60C53"/>
    <w:rsid w:val="00E60E4C"/>
    <w:rsid w:val="00E62E41"/>
    <w:rsid w:val="00E651E3"/>
    <w:rsid w:val="00E6551F"/>
    <w:rsid w:val="00E70B60"/>
    <w:rsid w:val="00E70DA6"/>
    <w:rsid w:val="00E71801"/>
    <w:rsid w:val="00E71983"/>
    <w:rsid w:val="00E723FC"/>
    <w:rsid w:val="00E73868"/>
    <w:rsid w:val="00E73928"/>
    <w:rsid w:val="00E74079"/>
    <w:rsid w:val="00E7549B"/>
    <w:rsid w:val="00E75668"/>
    <w:rsid w:val="00E75B8D"/>
    <w:rsid w:val="00E771D2"/>
    <w:rsid w:val="00E80570"/>
    <w:rsid w:val="00E8261D"/>
    <w:rsid w:val="00E8635D"/>
    <w:rsid w:val="00E867D3"/>
    <w:rsid w:val="00E876E1"/>
    <w:rsid w:val="00E90043"/>
    <w:rsid w:val="00E903D6"/>
    <w:rsid w:val="00E9354D"/>
    <w:rsid w:val="00E9386F"/>
    <w:rsid w:val="00E94000"/>
    <w:rsid w:val="00E94CB3"/>
    <w:rsid w:val="00E94FF4"/>
    <w:rsid w:val="00E968A2"/>
    <w:rsid w:val="00E97C51"/>
    <w:rsid w:val="00E97CB7"/>
    <w:rsid w:val="00EA04F4"/>
    <w:rsid w:val="00EA2553"/>
    <w:rsid w:val="00EA3C1E"/>
    <w:rsid w:val="00EA3D8A"/>
    <w:rsid w:val="00EA4522"/>
    <w:rsid w:val="00EA485A"/>
    <w:rsid w:val="00EA6BD1"/>
    <w:rsid w:val="00EB0381"/>
    <w:rsid w:val="00EB200F"/>
    <w:rsid w:val="00EB60CA"/>
    <w:rsid w:val="00EB68C4"/>
    <w:rsid w:val="00EB6E96"/>
    <w:rsid w:val="00EB73B4"/>
    <w:rsid w:val="00EB7B12"/>
    <w:rsid w:val="00EB7BAB"/>
    <w:rsid w:val="00EC03B5"/>
    <w:rsid w:val="00EC1090"/>
    <w:rsid w:val="00EC1609"/>
    <w:rsid w:val="00EC1C0C"/>
    <w:rsid w:val="00EC2867"/>
    <w:rsid w:val="00EC40F3"/>
    <w:rsid w:val="00EC4946"/>
    <w:rsid w:val="00EC5991"/>
    <w:rsid w:val="00EC6391"/>
    <w:rsid w:val="00EC6822"/>
    <w:rsid w:val="00EC6DA5"/>
    <w:rsid w:val="00EC70E8"/>
    <w:rsid w:val="00EC7CDB"/>
    <w:rsid w:val="00EC7F25"/>
    <w:rsid w:val="00ED09DB"/>
    <w:rsid w:val="00ED0E17"/>
    <w:rsid w:val="00ED117D"/>
    <w:rsid w:val="00ED1189"/>
    <w:rsid w:val="00ED1EB6"/>
    <w:rsid w:val="00ED25D4"/>
    <w:rsid w:val="00ED276F"/>
    <w:rsid w:val="00ED3F35"/>
    <w:rsid w:val="00ED423E"/>
    <w:rsid w:val="00ED5AED"/>
    <w:rsid w:val="00ED646C"/>
    <w:rsid w:val="00EE0A92"/>
    <w:rsid w:val="00EE137C"/>
    <w:rsid w:val="00EE3019"/>
    <w:rsid w:val="00EE3ECD"/>
    <w:rsid w:val="00EE44DC"/>
    <w:rsid w:val="00EE47D8"/>
    <w:rsid w:val="00EE7655"/>
    <w:rsid w:val="00EE771A"/>
    <w:rsid w:val="00EE7EDB"/>
    <w:rsid w:val="00EF1005"/>
    <w:rsid w:val="00EF218E"/>
    <w:rsid w:val="00EF3E7D"/>
    <w:rsid w:val="00EF5743"/>
    <w:rsid w:val="00EF5B97"/>
    <w:rsid w:val="00EF6CB4"/>
    <w:rsid w:val="00EF7329"/>
    <w:rsid w:val="00F01866"/>
    <w:rsid w:val="00F0225B"/>
    <w:rsid w:val="00F02424"/>
    <w:rsid w:val="00F04604"/>
    <w:rsid w:val="00F05D02"/>
    <w:rsid w:val="00F07600"/>
    <w:rsid w:val="00F106B7"/>
    <w:rsid w:val="00F1085D"/>
    <w:rsid w:val="00F10B75"/>
    <w:rsid w:val="00F10D1C"/>
    <w:rsid w:val="00F11DF2"/>
    <w:rsid w:val="00F1219A"/>
    <w:rsid w:val="00F12BF5"/>
    <w:rsid w:val="00F146AE"/>
    <w:rsid w:val="00F15069"/>
    <w:rsid w:val="00F211E1"/>
    <w:rsid w:val="00F213AC"/>
    <w:rsid w:val="00F22B52"/>
    <w:rsid w:val="00F24226"/>
    <w:rsid w:val="00F2454C"/>
    <w:rsid w:val="00F245A9"/>
    <w:rsid w:val="00F245DE"/>
    <w:rsid w:val="00F24D08"/>
    <w:rsid w:val="00F25909"/>
    <w:rsid w:val="00F25DCC"/>
    <w:rsid w:val="00F26128"/>
    <w:rsid w:val="00F262BC"/>
    <w:rsid w:val="00F267CF"/>
    <w:rsid w:val="00F27537"/>
    <w:rsid w:val="00F27AB7"/>
    <w:rsid w:val="00F30B64"/>
    <w:rsid w:val="00F311A9"/>
    <w:rsid w:val="00F31FC8"/>
    <w:rsid w:val="00F34684"/>
    <w:rsid w:val="00F3504C"/>
    <w:rsid w:val="00F353B8"/>
    <w:rsid w:val="00F35509"/>
    <w:rsid w:val="00F35E8E"/>
    <w:rsid w:val="00F36234"/>
    <w:rsid w:val="00F3785B"/>
    <w:rsid w:val="00F4088A"/>
    <w:rsid w:val="00F40D3F"/>
    <w:rsid w:val="00F4237C"/>
    <w:rsid w:val="00F438A1"/>
    <w:rsid w:val="00F43BA9"/>
    <w:rsid w:val="00F440EF"/>
    <w:rsid w:val="00F446C7"/>
    <w:rsid w:val="00F44704"/>
    <w:rsid w:val="00F4518B"/>
    <w:rsid w:val="00F466AF"/>
    <w:rsid w:val="00F46B97"/>
    <w:rsid w:val="00F47152"/>
    <w:rsid w:val="00F47B21"/>
    <w:rsid w:val="00F50AB7"/>
    <w:rsid w:val="00F5239B"/>
    <w:rsid w:val="00F523AA"/>
    <w:rsid w:val="00F531CC"/>
    <w:rsid w:val="00F53C9A"/>
    <w:rsid w:val="00F54612"/>
    <w:rsid w:val="00F5522F"/>
    <w:rsid w:val="00F563C2"/>
    <w:rsid w:val="00F5659A"/>
    <w:rsid w:val="00F56AD8"/>
    <w:rsid w:val="00F570B9"/>
    <w:rsid w:val="00F57A72"/>
    <w:rsid w:val="00F61459"/>
    <w:rsid w:val="00F63970"/>
    <w:rsid w:val="00F640B9"/>
    <w:rsid w:val="00F66FC9"/>
    <w:rsid w:val="00F67537"/>
    <w:rsid w:val="00F6755D"/>
    <w:rsid w:val="00F678BD"/>
    <w:rsid w:val="00F679BC"/>
    <w:rsid w:val="00F70280"/>
    <w:rsid w:val="00F705EB"/>
    <w:rsid w:val="00F71CE2"/>
    <w:rsid w:val="00F74F06"/>
    <w:rsid w:val="00F751ED"/>
    <w:rsid w:val="00F752FF"/>
    <w:rsid w:val="00F75BEB"/>
    <w:rsid w:val="00F75D5B"/>
    <w:rsid w:val="00F80BA2"/>
    <w:rsid w:val="00F80D09"/>
    <w:rsid w:val="00F82B70"/>
    <w:rsid w:val="00F83D03"/>
    <w:rsid w:val="00F83E62"/>
    <w:rsid w:val="00F84130"/>
    <w:rsid w:val="00F843E0"/>
    <w:rsid w:val="00F8622B"/>
    <w:rsid w:val="00F869B5"/>
    <w:rsid w:val="00F86CDD"/>
    <w:rsid w:val="00F90D48"/>
    <w:rsid w:val="00F90FA8"/>
    <w:rsid w:val="00F9134D"/>
    <w:rsid w:val="00F91764"/>
    <w:rsid w:val="00F918CE"/>
    <w:rsid w:val="00F9339A"/>
    <w:rsid w:val="00F93C87"/>
    <w:rsid w:val="00F947EC"/>
    <w:rsid w:val="00F94959"/>
    <w:rsid w:val="00F949E6"/>
    <w:rsid w:val="00F94B70"/>
    <w:rsid w:val="00F95D5B"/>
    <w:rsid w:val="00F9631C"/>
    <w:rsid w:val="00F964E6"/>
    <w:rsid w:val="00F96A29"/>
    <w:rsid w:val="00F96F31"/>
    <w:rsid w:val="00F97AF1"/>
    <w:rsid w:val="00F97BDC"/>
    <w:rsid w:val="00F97F88"/>
    <w:rsid w:val="00FA0568"/>
    <w:rsid w:val="00FA0ACF"/>
    <w:rsid w:val="00FA1369"/>
    <w:rsid w:val="00FA18F0"/>
    <w:rsid w:val="00FA2ED9"/>
    <w:rsid w:val="00FA2F91"/>
    <w:rsid w:val="00FA3A5C"/>
    <w:rsid w:val="00FA42FD"/>
    <w:rsid w:val="00FA4FD6"/>
    <w:rsid w:val="00FA53B4"/>
    <w:rsid w:val="00FA7571"/>
    <w:rsid w:val="00FA7EA6"/>
    <w:rsid w:val="00FB1FB1"/>
    <w:rsid w:val="00FB20D4"/>
    <w:rsid w:val="00FB54C2"/>
    <w:rsid w:val="00FB67C9"/>
    <w:rsid w:val="00FB77FB"/>
    <w:rsid w:val="00FB786B"/>
    <w:rsid w:val="00FC167F"/>
    <w:rsid w:val="00FC2CE4"/>
    <w:rsid w:val="00FC65C9"/>
    <w:rsid w:val="00FC6BFA"/>
    <w:rsid w:val="00FD0CCC"/>
    <w:rsid w:val="00FD1173"/>
    <w:rsid w:val="00FD1446"/>
    <w:rsid w:val="00FD17C3"/>
    <w:rsid w:val="00FD308E"/>
    <w:rsid w:val="00FD37A3"/>
    <w:rsid w:val="00FD5333"/>
    <w:rsid w:val="00FD5935"/>
    <w:rsid w:val="00FD69F8"/>
    <w:rsid w:val="00FE0174"/>
    <w:rsid w:val="00FE053F"/>
    <w:rsid w:val="00FE0AA8"/>
    <w:rsid w:val="00FE1A38"/>
    <w:rsid w:val="00FE23F2"/>
    <w:rsid w:val="00FE2A9D"/>
    <w:rsid w:val="00FE2B94"/>
    <w:rsid w:val="00FE468E"/>
    <w:rsid w:val="00FE52D0"/>
    <w:rsid w:val="00FE5BE8"/>
    <w:rsid w:val="00FE6046"/>
    <w:rsid w:val="00FE7913"/>
    <w:rsid w:val="00FE7E47"/>
    <w:rsid w:val="00FF0FB1"/>
    <w:rsid w:val="00FF1621"/>
    <w:rsid w:val="00FF1ADD"/>
    <w:rsid w:val="00FF2020"/>
    <w:rsid w:val="00FF2530"/>
    <w:rsid w:val="00FF4A6B"/>
    <w:rsid w:val="00FF4EF9"/>
    <w:rsid w:val="00FF5291"/>
    <w:rsid w:val="00FF5436"/>
    <w:rsid w:val="00FF6D79"/>
    <w:rsid w:val="00FF6F44"/>
    <w:rsid w:val="00FF728E"/>
    <w:rsid w:val="00FF78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9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BC3900"/>
    <w:pPr>
      <w:tabs>
        <w:tab w:val="center" w:pos="4153"/>
        <w:tab w:val="right" w:pos="8306"/>
      </w:tabs>
      <w:snapToGrid w:val="0"/>
      <w:jc w:val="left"/>
    </w:pPr>
    <w:rPr>
      <w:sz w:val="18"/>
      <w:szCs w:val="18"/>
    </w:rPr>
  </w:style>
  <w:style w:type="character" w:customStyle="1" w:styleId="Char">
    <w:name w:val="页脚 Char"/>
    <w:basedOn w:val="a0"/>
    <w:link w:val="a3"/>
    <w:rsid w:val="00BC3900"/>
    <w:rPr>
      <w:rFonts w:ascii="Times New Roman" w:eastAsia="宋体" w:hAnsi="Times New Roman" w:cs="Times New Roman"/>
      <w:sz w:val="18"/>
      <w:szCs w:val="18"/>
    </w:rPr>
  </w:style>
  <w:style w:type="character" w:styleId="a4">
    <w:name w:val="page number"/>
    <w:basedOn w:val="a0"/>
    <w:rsid w:val="00BC3900"/>
  </w:style>
  <w:style w:type="paragraph" w:styleId="a5">
    <w:name w:val="Balloon Text"/>
    <w:basedOn w:val="a"/>
    <w:link w:val="Char0"/>
    <w:uiPriority w:val="99"/>
    <w:semiHidden/>
    <w:unhideWhenUsed/>
    <w:rsid w:val="00F07600"/>
    <w:rPr>
      <w:sz w:val="18"/>
      <w:szCs w:val="18"/>
    </w:rPr>
  </w:style>
  <w:style w:type="character" w:customStyle="1" w:styleId="Char0">
    <w:name w:val="批注框文本 Char"/>
    <w:basedOn w:val="a0"/>
    <w:link w:val="a5"/>
    <w:uiPriority w:val="99"/>
    <w:semiHidden/>
    <w:rsid w:val="00F07600"/>
    <w:rPr>
      <w:rFonts w:ascii="Times New Roman" w:eastAsia="宋体" w:hAnsi="Times New Roman" w:cs="Times New Roman"/>
      <w:sz w:val="18"/>
      <w:szCs w:val="18"/>
    </w:rPr>
  </w:style>
  <w:style w:type="paragraph" w:styleId="a6">
    <w:name w:val="header"/>
    <w:basedOn w:val="a"/>
    <w:link w:val="Char1"/>
    <w:uiPriority w:val="99"/>
    <w:semiHidden/>
    <w:unhideWhenUsed/>
    <w:rsid w:val="003E440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3E440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C889B-F344-4B74-908F-1B0339FF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2822</Words>
  <Characters>16088</Characters>
  <Application>Microsoft Office Word</Application>
  <DocSecurity>0</DocSecurity>
  <Lines>134</Lines>
  <Paragraphs>37</Paragraphs>
  <ScaleCrop>false</ScaleCrop>
  <Company/>
  <LinksUpToDate>false</LinksUpToDate>
  <CharactersWithSpaces>18873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江鹭燕</dc:creator>
  <cp:lastModifiedBy>江鹭燕</cp:lastModifiedBy>
  <cp:revision>7</cp:revision>
  <dcterms:created xsi:type="dcterms:W3CDTF">2019-09-23T02:41:00Z</dcterms:created>
  <dcterms:modified xsi:type="dcterms:W3CDTF">2019-09-25T00:32:00Z</dcterms:modified>
</cp:coreProperties>
</file>